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091426" w14:textId="72FFC276" w:rsidR="00E90E49" w:rsidRPr="00327997" w:rsidRDefault="00E90E49" w:rsidP="00327997">
      <w:pPr>
        <w:pStyle w:val="3GPPHeader"/>
        <w:rPr>
          <w:highlight w:val="yellow"/>
        </w:rPr>
      </w:pPr>
      <w:bookmarkStart w:id="0" w:name="_GoBack"/>
      <w:bookmarkEnd w:id="0"/>
      <w:r w:rsidRPr="00327997">
        <w:t>3GPP TSG-RAN WG</w:t>
      </w:r>
      <w:r w:rsidR="00790B99" w:rsidRPr="00327997">
        <w:t>1</w:t>
      </w:r>
      <w:r w:rsidR="00A85C6C">
        <w:t xml:space="preserve"> #87ah-NR</w:t>
      </w:r>
      <w:r w:rsidRPr="00327997">
        <w:tab/>
      </w:r>
      <w:r w:rsidR="00790B99" w:rsidRPr="00AD17DF">
        <w:t>R1</w:t>
      </w:r>
      <w:r w:rsidR="00091557" w:rsidRPr="00AD17DF">
        <w:t>-</w:t>
      </w:r>
      <w:r w:rsidR="00AD17DF" w:rsidRPr="00AD17DF">
        <w:t>1700765</w:t>
      </w:r>
    </w:p>
    <w:p w14:paraId="0F56F064" w14:textId="77777777" w:rsidR="00E90E49" w:rsidRDefault="00A85C6C" w:rsidP="00327997">
      <w:pPr>
        <w:pStyle w:val="3GPPHeader"/>
      </w:pPr>
      <w:r>
        <w:t>Spokane</w:t>
      </w:r>
      <w:r w:rsidR="0027144F" w:rsidRPr="009C6832">
        <w:t xml:space="preserve">, </w:t>
      </w:r>
      <w:r>
        <w:t>WA, USA</w:t>
      </w:r>
      <w:r w:rsidR="0027144F" w:rsidRPr="009C6832">
        <w:t xml:space="preserve">, </w:t>
      </w:r>
      <w:r>
        <w:t>16</w:t>
      </w:r>
      <w:r w:rsidRPr="00A85C6C">
        <w:rPr>
          <w:vertAlign w:val="superscript"/>
        </w:rPr>
        <w:t>th</w:t>
      </w:r>
      <w:r>
        <w:t xml:space="preserve"> </w:t>
      </w:r>
      <w:r w:rsidR="0027144F" w:rsidRPr="009C6832">
        <w:t xml:space="preserve">– </w:t>
      </w:r>
      <w:r>
        <w:t>20</w:t>
      </w:r>
      <w:r w:rsidRPr="00A85C6C">
        <w:rPr>
          <w:vertAlign w:val="superscript"/>
        </w:rPr>
        <w:t>th</w:t>
      </w:r>
      <w:r>
        <w:t xml:space="preserve"> January</w:t>
      </w:r>
      <w:r w:rsidR="00790B99" w:rsidRPr="009C6832">
        <w:t>,</w:t>
      </w:r>
      <w:r w:rsidR="0027144F" w:rsidRPr="009C6832">
        <w:t xml:space="preserve"> 20</w:t>
      </w:r>
      <w:r>
        <w:t>17</w:t>
      </w:r>
    </w:p>
    <w:p w14:paraId="1550E61A" w14:textId="77777777" w:rsidR="00E90E49" w:rsidRPr="00CE0424" w:rsidRDefault="00E90E49" w:rsidP="00357380">
      <w:pPr>
        <w:pStyle w:val="3GPPHeader"/>
      </w:pPr>
    </w:p>
    <w:p w14:paraId="5B9828A5" w14:textId="77777777" w:rsidR="00E90E49" w:rsidRPr="00327997" w:rsidRDefault="003D3C45" w:rsidP="00327997">
      <w:pPr>
        <w:pStyle w:val="3GPPHeader"/>
      </w:pPr>
      <w:r w:rsidRPr="00327997">
        <w:t>Source:</w:t>
      </w:r>
      <w:r w:rsidR="00E90E49" w:rsidRPr="00327997">
        <w:tab/>
      </w:r>
      <w:r w:rsidR="00F64C2B" w:rsidRPr="00327997">
        <w:t>Ericsson</w:t>
      </w:r>
    </w:p>
    <w:p w14:paraId="775C1A6E" w14:textId="77777777" w:rsidR="00E90E49" w:rsidRPr="00327997" w:rsidRDefault="003D3C45" w:rsidP="00327997">
      <w:pPr>
        <w:pStyle w:val="3GPPHeader"/>
      </w:pPr>
      <w:r w:rsidRPr="00327997">
        <w:t>Title:</w:t>
      </w:r>
      <w:r w:rsidR="00E90E49" w:rsidRPr="00327997">
        <w:tab/>
      </w:r>
      <w:r w:rsidR="007A20B3">
        <w:t>On UE initiated beam recovery</w:t>
      </w:r>
    </w:p>
    <w:p w14:paraId="236EDBA8" w14:textId="77777777" w:rsidR="00952A24" w:rsidRPr="00327997" w:rsidRDefault="00952A24" w:rsidP="00327997">
      <w:pPr>
        <w:pStyle w:val="3GPPHeader"/>
      </w:pPr>
      <w:r w:rsidRPr="00327997">
        <w:t>Agenda Item:</w:t>
      </w:r>
      <w:r w:rsidRPr="00327997">
        <w:tab/>
      </w:r>
      <w:r w:rsidR="007A20B3" w:rsidRPr="00E84024">
        <w:t>5.1.2.2</w:t>
      </w:r>
    </w:p>
    <w:p w14:paraId="6EED92DF"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2B2862DC" w14:textId="77777777" w:rsidR="00E90E49" w:rsidRPr="00CE0424" w:rsidRDefault="007F75D5" w:rsidP="00CE0424">
      <w:pPr>
        <w:pStyle w:val="Heading1"/>
      </w:pPr>
      <w:r>
        <w:t>Introduction</w:t>
      </w:r>
    </w:p>
    <w:p w14:paraId="4765507D" w14:textId="77777777" w:rsidR="00BF7642" w:rsidRPr="00E9149C" w:rsidRDefault="00A85C6C" w:rsidP="00BF7642">
      <w:pPr>
        <w:pStyle w:val="BodyText"/>
      </w:pPr>
      <w:r>
        <w:t>In RAN1#87</w:t>
      </w:r>
      <w:r w:rsidR="00BF7642">
        <w:t>, the following agreement was made:</w:t>
      </w:r>
    </w:p>
    <w:p w14:paraId="14CD9897" w14:textId="77777777" w:rsidR="00BF7642" w:rsidRDefault="00BF7642" w:rsidP="00BF7642">
      <w:pPr>
        <w:pStyle w:val="BodyText"/>
      </w:pPr>
      <w:r>
        <w:rPr>
          <w:noProof/>
          <w:lang w:val="en-US" w:eastAsia="en-US"/>
        </w:rPr>
        <mc:AlternateContent>
          <mc:Choice Requires="wps">
            <w:drawing>
              <wp:inline distT="0" distB="0" distL="0" distR="0" wp14:anchorId="1109FD8D" wp14:editId="4750D0E1">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B5704EC" w14:textId="77777777" w:rsidR="00576AD6" w:rsidRPr="00D53EDA" w:rsidRDefault="00576AD6" w:rsidP="00576AD6">
                            <w:pPr>
                              <w:spacing w:after="0"/>
                              <w:rPr>
                                <w:rFonts w:eastAsia="MS Mincho"/>
                                <w:b/>
                                <w:iCs/>
                                <w:u w:val="single"/>
                                <w:lang w:eastAsia="ja-JP"/>
                              </w:rPr>
                            </w:pPr>
                            <w:r w:rsidRPr="00D53EDA">
                              <w:rPr>
                                <w:rFonts w:eastAsia="MS Mincho"/>
                                <w:b/>
                                <w:iCs/>
                                <w:highlight w:val="green"/>
                                <w:u w:val="single"/>
                                <w:lang w:eastAsia="ja-JP"/>
                              </w:rPr>
                              <w:t>Agreements</w:t>
                            </w:r>
                            <w:r w:rsidRPr="00D53EDA">
                              <w:rPr>
                                <w:rFonts w:eastAsia="MS Mincho"/>
                                <w:b/>
                                <w:iCs/>
                                <w:u w:val="single"/>
                                <w:lang w:eastAsia="ja-JP"/>
                              </w:rPr>
                              <w:t>:</w:t>
                            </w:r>
                          </w:p>
                          <w:p w14:paraId="5464D2FC" w14:textId="77777777" w:rsidR="00576AD6" w:rsidRPr="005669E5" w:rsidRDefault="00576AD6" w:rsidP="00576AD6">
                            <w:pPr>
                              <w:numPr>
                                <w:ilvl w:val="0"/>
                                <w:numId w:val="16"/>
                              </w:numPr>
                              <w:spacing w:after="0"/>
                              <w:rPr>
                                <w:rFonts w:eastAsia="MS Mincho"/>
                                <w:iCs/>
                                <w:lang w:val="en-US" w:eastAsia="ja-JP"/>
                              </w:rPr>
                            </w:pPr>
                            <w:r w:rsidRPr="005669E5">
                              <w:rPr>
                                <w:rFonts w:eastAsia="MS Mincho"/>
                                <w:iCs/>
                                <w:lang w:val="en-US" w:eastAsia="ja-JP"/>
                              </w:rPr>
                              <w:t>NR to provide robustness against beam pair link blocking</w:t>
                            </w:r>
                          </w:p>
                          <w:p w14:paraId="3AFEF420" w14:textId="77777777" w:rsidR="00576AD6" w:rsidRPr="005669E5" w:rsidRDefault="00576AD6" w:rsidP="00576AD6">
                            <w:pPr>
                              <w:numPr>
                                <w:ilvl w:val="1"/>
                                <w:numId w:val="16"/>
                              </w:numPr>
                              <w:spacing w:after="0"/>
                              <w:rPr>
                                <w:rFonts w:eastAsia="MS Mincho"/>
                                <w:iCs/>
                                <w:lang w:val="en-US" w:eastAsia="ja-JP"/>
                              </w:rPr>
                            </w:pPr>
                            <w:r w:rsidRPr="005669E5">
                              <w:rPr>
                                <w:rFonts w:eastAsia="MS Mincho"/>
                                <w:iCs/>
                                <w:lang w:val="en-US" w:eastAsia="ja-JP"/>
                              </w:rPr>
                              <w:t>Study mechanisms to achieve the above purpose</w:t>
                            </w:r>
                          </w:p>
                          <w:p w14:paraId="61E83CA6" w14:textId="77777777" w:rsidR="00576AD6" w:rsidRPr="005669E5" w:rsidRDefault="00576AD6" w:rsidP="00576AD6">
                            <w:pPr>
                              <w:numPr>
                                <w:ilvl w:val="2"/>
                                <w:numId w:val="16"/>
                              </w:numPr>
                              <w:spacing w:after="0"/>
                              <w:rPr>
                                <w:rFonts w:eastAsia="MS Mincho"/>
                                <w:iCs/>
                                <w:lang w:val="en-US" w:eastAsia="ja-JP"/>
                              </w:rPr>
                            </w:pPr>
                            <w:r w:rsidRPr="005669E5">
                              <w:rPr>
                                <w:rFonts w:eastAsia="MS Mincho"/>
                                <w:iCs/>
                                <w:lang w:val="en-US" w:eastAsia="ja-JP"/>
                              </w:rPr>
                              <w:t>E.g., by enabling PDCCH/PDSCH monitoring with N beams</w:t>
                            </w:r>
                          </w:p>
                          <w:p w14:paraId="256BA205" w14:textId="77777777" w:rsidR="00576AD6" w:rsidRPr="005669E5" w:rsidRDefault="00576AD6" w:rsidP="00576AD6">
                            <w:pPr>
                              <w:numPr>
                                <w:ilvl w:val="3"/>
                                <w:numId w:val="16"/>
                              </w:numPr>
                              <w:spacing w:after="0"/>
                              <w:rPr>
                                <w:rFonts w:eastAsia="MS Mincho"/>
                                <w:iCs/>
                                <w:lang w:val="en-US" w:eastAsia="ja-JP"/>
                              </w:rPr>
                            </w:pPr>
                            <w:r w:rsidRPr="005669E5">
                              <w:rPr>
                                <w:rFonts w:eastAsia="MS Mincho"/>
                                <w:iCs/>
                                <w:lang w:val="en-US" w:eastAsia="ja-JP"/>
                              </w:rPr>
                              <w:t>E.g., N=1, 2, …</w:t>
                            </w:r>
                          </w:p>
                          <w:p w14:paraId="2D335B01" w14:textId="77777777" w:rsidR="00576AD6" w:rsidRPr="005669E5" w:rsidRDefault="00576AD6" w:rsidP="00576AD6">
                            <w:pPr>
                              <w:numPr>
                                <w:ilvl w:val="3"/>
                                <w:numId w:val="16"/>
                              </w:numPr>
                              <w:spacing w:after="0"/>
                              <w:rPr>
                                <w:rFonts w:eastAsia="MS Mincho"/>
                                <w:iCs/>
                                <w:lang w:val="en-US" w:eastAsia="ja-JP"/>
                              </w:rPr>
                            </w:pPr>
                            <w:r w:rsidRPr="005669E5">
                              <w:rPr>
                                <w:rFonts w:eastAsia="MS Mincho"/>
                                <w:iCs/>
                                <w:lang w:val="en-US" w:eastAsia="ja-JP"/>
                              </w:rPr>
                              <w:t>E.g., TDM monitoring, simultaneous monitoring, etc.</w:t>
                            </w:r>
                          </w:p>
                          <w:p w14:paraId="26371041" w14:textId="77777777" w:rsidR="00576AD6" w:rsidRPr="005669E5" w:rsidRDefault="00576AD6" w:rsidP="00576AD6">
                            <w:pPr>
                              <w:numPr>
                                <w:ilvl w:val="2"/>
                                <w:numId w:val="16"/>
                              </w:numPr>
                              <w:spacing w:after="0"/>
                              <w:rPr>
                                <w:rFonts w:eastAsia="MS Mincho"/>
                                <w:iCs/>
                                <w:lang w:val="en-US" w:eastAsia="ja-JP"/>
                              </w:rPr>
                            </w:pPr>
                            <w:r w:rsidRPr="005669E5">
                              <w:rPr>
                                <w:rFonts w:eastAsia="MS Mincho"/>
                                <w:iCs/>
                                <w:lang w:val="en-US" w:eastAsia="ja-JP"/>
                              </w:rPr>
                              <w:t>E.g., by enabling composite beams via e.g., SFBC and/or multi-stage control channel</w:t>
                            </w:r>
                          </w:p>
                          <w:p w14:paraId="29774DC1" w14:textId="77777777" w:rsidR="00576AD6" w:rsidRPr="00FB08E2" w:rsidRDefault="00576AD6" w:rsidP="00576AD6">
                            <w:pPr>
                              <w:pStyle w:val="ListParagraph"/>
                              <w:numPr>
                                <w:ilvl w:val="2"/>
                                <w:numId w:val="16"/>
                              </w:numPr>
                              <w:overflowPunct w:val="0"/>
                              <w:autoSpaceDE w:val="0"/>
                              <w:autoSpaceDN w:val="0"/>
                              <w:adjustRightInd w:val="0"/>
                              <w:spacing w:after="0"/>
                              <w:jc w:val="both"/>
                              <w:textAlignment w:val="baseline"/>
                              <w:rPr>
                                <w:rFonts w:eastAsia="MS Mincho"/>
                                <w:lang w:val="en-US"/>
                              </w:rPr>
                            </w:pPr>
                            <w:r w:rsidRPr="00FB08E2">
                              <w:rPr>
                                <w:rFonts w:eastAsia="MS Mincho"/>
                                <w:iCs/>
                                <w:lang w:val="en-US"/>
                              </w:rPr>
                              <w:t>The examples are not intended to be exhaustive</w:t>
                            </w:r>
                          </w:p>
                          <w:p w14:paraId="60EEAB2B" w14:textId="77777777" w:rsidR="00576AD6" w:rsidRPr="00D01521" w:rsidRDefault="00576AD6" w:rsidP="00576AD6">
                            <w:r w:rsidRPr="00576AD6">
                              <w:rPr>
                                <w:b/>
                                <w:highlight w:val="green"/>
                                <w:u w:val="single"/>
                                <w:lang w:val="en-US"/>
                              </w:rPr>
                              <w:t>Agreements</w:t>
                            </w:r>
                            <w:r w:rsidRPr="00D01521">
                              <w:rPr>
                                <w:lang w:val="en-US"/>
                              </w:rPr>
                              <w:t>:</w:t>
                            </w:r>
                          </w:p>
                          <w:p w14:paraId="3F298A74" w14:textId="77777777" w:rsidR="00576AD6" w:rsidRPr="00D01521" w:rsidRDefault="00576AD6" w:rsidP="00576AD6">
                            <w:pPr>
                              <w:numPr>
                                <w:ilvl w:val="0"/>
                                <w:numId w:val="17"/>
                              </w:numPr>
                              <w:overflowPunct/>
                              <w:autoSpaceDE/>
                              <w:autoSpaceDN/>
                              <w:adjustRightInd/>
                              <w:spacing w:after="0"/>
                              <w:jc w:val="left"/>
                              <w:textAlignment w:val="auto"/>
                              <w:rPr>
                                <w:rFonts w:eastAsia="MS Mincho"/>
                                <w:iCs/>
                                <w:lang w:val="en-US" w:eastAsia="ja-JP"/>
                              </w:rPr>
                            </w:pPr>
                            <w:r w:rsidRPr="00D01521">
                              <w:rPr>
                                <w:rFonts w:eastAsia="MS Mincho"/>
                                <w:iCs/>
                                <w:lang w:val="en-US" w:eastAsia="ja-JP"/>
                              </w:rPr>
                              <w:t xml:space="preserve">NR should study the necessity of event-driven UE initiated UL transmission, e.g., in the event of beam quality degradation </w:t>
                            </w:r>
                          </w:p>
                          <w:p w14:paraId="37B16B51" w14:textId="77777777" w:rsidR="00576AD6" w:rsidRPr="00D01521" w:rsidRDefault="00576AD6" w:rsidP="00576AD6">
                            <w:pPr>
                              <w:numPr>
                                <w:ilvl w:val="1"/>
                                <w:numId w:val="17"/>
                              </w:numPr>
                              <w:overflowPunct/>
                              <w:autoSpaceDE/>
                              <w:autoSpaceDN/>
                              <w:adjustRightInd/>
                              <w:spacing w:after="0"/>
                              <w:jc w:val="left"/>
                              <w:textAlignment w:val="auto"/>
                              <w:rPr>
                                <w:rFonts w:eastAsia="MS Mincho"/>
                                <w:iCs/>
                                <w:lang w:val="en-US" w:eastAsia="ja-JP"/>
                              </w:rPr>
                            </w:pPr>
                            <w:r w:rsidRPr="00D01521">
                              <w:rPr>
                                <w:rFonts w:eastAsia="MS Mincho"/>
                                <w:iCs/>
                                <w:lang w:val="en-US" w:eastAsia="ja-JP"/>
                              </w:rPr>
                              <w:t>E.g. due to UE mobility/rotation, blockage, and/or link failure, etc.</w:t>
                            </w:r>
                          </w:p>
                          <w:p w14:paraId="2C6EE0D6" w14:textId="77777777" w:rsidR="00BF7642" w:rsidRPr="00576AD6" w:rsidRDefault="00576AD6" w:rsidP="00BF7642">
                            <w:pPr>
                              <w:numPr>
                                <w:ilvl w:val="1"/>
                                <w:numId w:val="17"/>
                              </w:numPr>
                              <w:overflowPunct/>
                              <w:autoSpaceDE/>
                              <w:autoSpaceDN/>
                              <w:adjustRightInd/>
                              <w:spacing w:after="0"/>
                              <w:jc w:val="left"/>
                              <w:textAlignment w:val="auto"/>
                              <w:rPr>
                                <w:rFonts w:eastAsia="MS Mincho"/>
                                <w:iCs/>
                                <w:lang w:val="en-US" w:eastAsia="ja-JP"/>
                              </w:rPr>
                            </w:pPr>
                            <w:r w:rsidRPr="00D01521">
                              <w:rPr>
                                <w:rFonts w:eastAsia="MS Mincho"/>
                                <w:iCs/>
                                <w:lang w:val="en-US" w:eastAsia="ja-JP"/>
                              </w:rPr>
                              <w:t>FFS: details of event(s) of beam quality degradation</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1109FD8D"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7B5704EC" w14:textId="77777777" w:rsidR="00576AD6" w:rsidRPr="00D53EDA" w:rsidRDefault="00576AD6" w:rsidP="00576AD6">
                      <w:pPr>
                        <w:spacing w:after="0"/>
                        <w:rPr>
                          <w:rFonts w:eastAsia="MS Mincho"/>
                          <w:b/>
                          <w:iCs/>
                          <w:u w:val="single"/>
                          <w:lang w:eastAsia="ja-JP"/>
                        </w:rPr>
                      </w:pPr>
                      <w:r w:rsidRPr="00D53EDA">
                        <w:rPr>
                          <w:rFonts w:eastAsia="MS Mincho"/>
                          <w:b/>
                          <w:iCs/>
                          <w:highlight w:val="green"/>
                          <w:u w:val="single"/>
                          <w:lang w:eastAsia="ja-JP"/>
                        </w:rPr>
                        <w:t>Agreements</w:t>
                      </w:r>
                      <w:r w:rsidRPr="00D53EDA">
                        <w:rPr>
                          <w:rFonts w:eastAsia="MS Mincho"/>
                          <w:b/>
                          <w:iCs/>
                          <w:u w:val="single"/>
                          <w:lang w:eastAsia="ja-JP"/>
                        </w:rPr>
                        <w:t>:</w:t>
                      </w:r>
                    </w:p>
                    <w:p w14:paraId="5464D2FC" w14:textId="77777777" w:rsidR="00576AD6" w:rsidRPr="005669E5" w:rsidRDefault="00576AD6" w:rsidP="00576AD6">
                      <w:pPr>
                        <w:numPr>
                          <w:ilvl w:val="0"/>
                          <w:numId w:val="16"/>
                        </w:numPr>
                        <w:spacing w:after="0"/>
                        <w:rPr>
                          <w:rFonts w:eastAsia="MS Mincho"/>
                          <w:iCs/>
                          <w:lang w:val="en-US" w:eastAsia="ja-JP"/>
                        </w:rPr>
                      </w:pPr>
                      <w:r w:rsidRPr="005669E5">
                        <w:rPr>
                          <w:rFonts w:eastAsia="MS Mincho"/>
                          <w:iCs/>
                          <w:lang w:val="en-US" w:eastAsia="ja-JP"/>
                        </w:rPr>
                        <w:t>NR to provide robustness against beam pair link blocking</w:t>
                      </w:r>
                    </w:p>
                    <w:p w14:paraId="3AFEF420" w14:textId="77777777" w:rsidR="00576AD6" w:rsidRPr="005669E5" w:rsidRDefault="00576AD6" w:rsidP="00576AD6">
                      <w:pPr>
                        <w:numPr>
                          <w:ilvl w:val="1"/>
                          <w:numId w:val="16"/>
                        </w:numPr>
                        <w:spacing w:after="0"/>
                        <w:rPr>
                          <w:rFonts w:eastAsia="MS Mincho"/>
                          <w:iCs/>
                          <w:lang w:val="en-US" w:eastAsia="ja-JP"/>
                        </w:rPr>
                      </w:pPr>
                      <w:r w:rsidRPr="005669E5">
                        <w:rPr>
                          <w:rFonts w:eastAsia="MS Mincho"/>
                          <w:iCs/>
                          <w:lang w:val="en-US" w:eastAsia="ja-JP"/>
                        </w:rPr>
                        <w:t>Study mechanisms to achieve the above purpose</w:t>
                      </w:r>
                    </w:p>
                    <w:p w14:paraId="61E83CA6" w14:textId="77777777" w:rsidR="00576AD6" w:rsidRPr="005669E5" w:rsidRDefault="00576AD6" w:rsidP="00576AD6">
                      <w:pPr>
                        <w:numPr>
                          <w:ilvl w:val="2"/>
                          <w:numId w:val="16"/>
                        </w:numPr>
                        <w:spacing w:after="0"/>
                        <w:rPr>
                          <w:rFonts w:eastAsia="MS Mincho"/>
                          <w:iCs/>
                          <w:lang w:val="en-US" w:eastAsia="ja-JP"/>
                        </w:rPr>
                      </w:pPr>
                      <w:r w:rsidRPr="005669E5">
                        <w:rPr>
                          <w:rFonts w:eastAsia="MS Mincho"/>
                          <w:iCs/>
                          <w:lang w:val="en-US" w:eastAsia="ja-JP"/>
                        </w:rPr>
                        <w:t>E.g., by enabling PDCCH/PDSCH monitoring with N beams</w:t>
                      </w:r>
                    </w:p>
                    <w:p w14:paraId="256BA205" w14:textId="77777777" w:rsidR="00576AD6" w:rsidRPr="005669E5" w:rsidRDefault="00576AD6" w:rsidP="00576AD6">
                      <w:pPr>
                        <w:numPr>
                          <w:ilvl w:val="3"/>
                          <w:numId w:val="16"/>
                        </w:numPr>
                        <w:spacing w:after="0"/>
                        <w:rPr>
                          <w:rFonts w:eastAsia="MS Mincho"/>
                          <w:iCs/>
                          <w:lang w:val="en-US" w:eastAsia="ja-JP"/>
                        </w:rPr>
                      </w:pPr>
                      <w:r w:rsidRPr="005669E5">
                        <w:rPr>
                          <w:rFonts w:eastAsia="MS Mincho"/>
                          <w:iCs/>
                          <w:lang w:val="en-US" w:eastAsia="ja-JP"/>
                        </w:rPr>
                        <w:t>E.g., N=1, 2, …</w:t>
                      </w:r>
                    </w:p>
                    <w:p w14:paraId="2D335B01" w14:textId="77777777" w:rsidR="00576AD6" w:rsidRPr="005669E5" w:rsidRDefault="00576AD6" w:rsidP="00576AD6">
                      <w:pPr>
                        <w:numPr>
                          <w:ilvl w:val="3"/>
                          <w:numId w:val="16"/>
                        </w:numPr>
                        <w:spacing w:after="0"/>
                        <w:rPr>
                          <w:rFonts w:eastAsia="MS Mincho"/>
                          <w:iCs/>
                          <w:lang w:val="en-US" w:eastAsia="ja-JP"/>
                        </w:rPr>
                      </w:pPr>
                      <w:r w:rsidRPr="005669E5">
                        <w:rPr>
                          <w:rFonts w:eastAsia="MS Mincho"/>
                          <w:iCs/>
                          <w:lang w:val="en-US" w:eastAsia="ja-JP"/>
                        </w:rPr>
                        <w:t>E.g., TDM monitoring, simultaneous monitoring, etc.</w:t>
                      </w:r>
                    </w:p>
                    <w:p w14:paraId="26371041" w14:textId="77777777" w:rsidR="00576AD6" w:rsidRPr="005669E5" w:rsidRDefault="00576AD6" w:rsidP="00576AD6">
                      <w:pPr>
                        <w:numPr>
                          <w:ilvl w:val="2"/>
                          <w:numId w:val="16"/>
                        </w:numPr>
                        <w:spacing w:after="0"/>
                        <w:rPr>
                          <w:rFonts w:eastAsia="MS Mincho"/>
                          <w:iCs/>
                          <w:lang w:val="en-US" w:eastAsia="ja-JP"/>
                        </w:rPr>
                      </w:pPr>
                      <w:r w:rsidRPr="005669E5">
                        <w:rPr>
                          <w:rFonts w:eastAsia="MS Mincho"/>
                          <w:iCs/>
                          <w:lang w:val="en-US" w:eastAsia="ja-JP"/>
                        </w:rPr>
                        <w:t>E.g., by enabling composite beams via e.g., SFBC and/or multi-stage control channel</w:t>
                      </w:r>
                    </w:p>
                    <w:p w14:paraId="29774DC1" w14:textId="77777777" w:rsidR="00576AD6" w:rsidRPr="00FB08E2" w:rsidRDefault="00576AD6" w:rsidP="00576AD6">
                      <w:pPr>
                        <w:pStyle w:val="ListParagraph"/>
                        <w:numPr>
                          <w:ilvl w:val="2"/>
                          <w:numId w:val="16"/>
                        </w:numPr>
                        <w:overflowPunct w:val="0"/>
                        <w:autoSpaceDE w:val="0"/>
                        <w:autoSpaceDN w:val="0"/>
                        <w:adjustRightInd w:val="0"/>
                        <w:spacing w:after="0"/>
                        <w:jc w:val="both"/>
                        <w:textAlignment w:val="baseline"/>
                        <w:rPr>
                          <w:rFonts w:eastAsia="MS Mincho"/>
                          <w:lang w:val="en-US"/>
                        </w:rPr>
                      </w:pPr>
                      <w:r w:rsidRPr="00FB08E2">
                        <w:rPr>
                          <w:rFonts w:eastAsia="MS Mincho"/>
                          <w:iCs/>
                          <w:lang w:val="en-US"/>
                        </w:rPr>
                        <w:t>The examples are not intended to be exhaustive</w:t>
                      </w:r>
                    </w:p>
                    <w:p w14:paraId="60EEAB2B" w14:textId="77777777" w:rsidR="00576AD6" w:rsidRPr="00D01521" w:rsidRDefault="00576AD6" w:rsidP="00576AD6">
                      <w:r w:rsidRPr="00576AD6">
                        <w:rPr>
                          <w:b/>
                          <w:highlight w:val="green"/>
                          <w:u w:val="single"/>
                          <w:lang w:val="en-US"/>
                        </w:rPr>
                        <w:t>Agreements</w:t>
                      </w:r>
                      <w:r w:rsidRPr="00D01521">
                        <w:rPr>
                          <w:lang w:val="en-US"/>
                        </w:rPr>
                        <w:t>:</w:t>
                      </w:r>
                    </w:p>
                    <w:p w14:paraId="3F298A74" w14:textId="77777777" w:rsidR="00576AD6" w:rsidRPr="00D01521" w:rsidRDefault="00576AD6" w:rsidP="00576AD6">
                      <w:pPr>
                        <w:numPr>
                          <w:ilvl w:val="0"/>
                          <w:numId w:val="17"/>
                        </w:numPr>
                        <w:overflowPunct/>
                        <w:autoSpaceDE/>
                        <w:autoSpaceDN/>
                        <w:adjustRightInd/>
                        <w:spacing w:after="0"/>
                        <w:jc w:val="left"/>
                        <w:textAlignment w:val="auto"/>
                        <w:rPr>
                          <w:rFonts w:eastAsia="MS Mincho"/>
                          <w:iCs/>
                          <w:lang w:val="en-US" w:eastAsia="ja-JP"/>
                        </w:rPr>
                      </w:pPr>
                      <w:r w:rsidRPr="00D01521">
                        <w:rPr>
                          <w:rFonts w:eastAsia="MS Mincho"/>
                          <w:iCs/>
                          <w:lang w:val="en-US" w:eastAsia="ja-JP"/>
                        </w:rPr>
                        <w:t xml:space="preserve">NR should study the necessity of event-driven UE initiated UL transmission, e.g., in the event of beam quality degradation </w:t>
                      </w:r>
                    </w:p>
                    <w:p w14:paraId="37B16B51" w14:textId="77777777" w:rsidR="00576AD6" w:rsidRPr="00D01521" w:rsidRDefault="00576AD6" w:rsidP="00576AD6">
                      <w:pPr>
                        <w:numPr>
                          <w:ilvl w:val="1"/>
                          <w:numId w:val="17"/>
                        </w:numPr>
                        <w:overflowPunct/>
                        <w:autoSpaceDE/>
                        <w:autoSpaceDN/>
                        <w:adjustRightInd/>
                        <w:spacing w:after="0"/>
                        <w:jc w:val="left"/>
                        <w:textAlignment w:val="auto"/>
                        <w:rPr>
                          <w:rFonts w:eastAsia="MS Mincho"/>
                          <w:iCs/>
                          <w:lang w:val="en-US" w:eastAsia="ja-JP"/>
                        </w:rPr>
                      </w:pPr>
                      <w:r w:rsidRPr="00D01521">
                        <w:rPr>
                          <w:rFonts w:eastAsia="MS Mincho"/>
                          <w:iCs/>
                          <w:lang w:val="en-US" w:eastAsia="ja-JP"/>
                        </w:rPr>
                        <w:t>E.g. due to UE mobility/rotation, blockage, and/or link failure, etc.</w:t>
                      </w:r>
                    </w:p>
                    <w:p w14:paraId="2C6EE0D6" w14:textId="77777777" w:rsidR="00BF7642" w:rsidRPr="00576AD6" w:rsidRDefault="00576AD6" w:rsidP="00BF7642">
                      <w:pPr>
                        <w:numPr>
                          <w:ilvl w:val="1"/>
                          <w:numId w:val="17"/>
                        </w:numPr>
                        <w:overflowPunct/>
                        <w:autoSpaceDE/>
                        <w:autoSpaceDN/>
                        <w:adjustRightInd/>
                        <w:spacing w:after="0"/>
                        <w:jc w:val="left"/>
                        <w:textAlignment w:val="auto"/>
                        <w:rPr>
                          <w:rFonts w:eastAsia="MS Mincho"/>
                          <w:iCs/>
                          <w:lang w:val="en-US" w:eastAsia="ja-JP"/>
                        </w:rPr>
                      </w:pPr>
                      <w:r w:rsidRPr="00D01521">
                        <w:rPr>
                          <w:rFonts w:eastAsia="MS Mincho"/>
                          <w:iCs/>
                          <w:lang w:val="en-US" w:eastAsia="ja-JP"/>
                        </w:rPr>
                        <w:t>FFS: details of event(s) of beam quality degradation</w:t>
                      </w:r>
                    </w:p>
                  </w:txbxContent>
                </v:textbox>
                <w10:anchorlock/>
              </v:shape>
            </w:pict>
          </mc:Fallback>
        </mc:AlternateContent>
      </w:r>
    </w:p>
    <w:p w14:paraId="2E638FC8" w14:textId="77777777" w:rsidR="00477768" w:rsidRPr="00CE0424" w:rsidRDefault="00D86070" w:rsidP="00BF7642">
      <w:pPr>
        <w:pStyle w:val="BodyText"/>
      </w:pPr>
      <w:r>
        <w:t>In this contribution we discuss issues around the latter agreement on studying UE initiated beam recovery.</w:t>
      </w:r>
    </w:p>
    <w:p w14:paraId="3C8FA49A" w14:textId="77777777" w:rsidR="004000E8" w:rsidRDefault="004000E8" w:rsidP="00CE0424">
      <w:pPr>
        <w:pStyle w:val="Heading1"/>
      </w:pPr>
      <w:bookmarkStart w:id="1" w:name="_Ref178064866"/>
      <w:r w:rsidRPr="00CE0424">
        <w:t>Discussion</w:t>
      </w:r>
      <w:bookmarkEnd w:id="1"/>
    </w:p>
    <w:p w14:paraId="6DAA8395" w14:textId="77777777" w:rsidR="00D86070" w:rsidRDefault="00D86070" w:rsidP="003B37C0">
      <w:pPr>
        <w:pStyle w:val="BodyText"/>
      </w:pPr>
      <w:r>
        <w:t xml:space="preserve">In a companion contribution </w:t>
      </w:r>
      <w:r w:rsidR="00B64782">
        <w:t>providing an</w:t>
      </w:r>
      <w:r>
        <w:t xml:space="preserve"> overview of DL beam management procedures</w:t>
      </w:r>
      <w:r w:rsidR="003B37C0">
        <w:t xml:space="preserve"> </w:t>
      </w:r>
      <w:r w:rsidR="003B37C0">
        <w:fldChar w:fldCharType="begin"/>
      </w:r>
      <w:r w:rsidR="003B37C0">
        <w:instrText xml:space="preserve"> REF _Ref471623790 \r \h </w:instrText>
      </w:r>
      <w:r w:rsidR="003B37C0">
        <w:fldChar w:fldCharType="separate"/>
      </w:r>
      <w:r w:rsidR="00400F3E">
        <w:t>[1]</w:t>
      </w:r>
      <w:r w:rsidR="003B37C0">
        <w:fldChar w:fldCharType="end"/>
      </w:r>
      <w:r>
        <w:t xml:space="preserve">, we observe </w:t>
      </w:r>
      <w:bookmarkStart w:id="2" w:name="_Toc471389344"/>
      <w:r>
        <w:t>that most packets in today’s networks are small and appear bursty, which implies that some baseline beam management should be in place to handle these packets without extensive beam management procedures</w:t>
      </w:r>
      <w:bookmarkEnd w:id="2"/>
      <w:r>
        <w:t xml:space="preserve">. By baseline, we mean </w:t>
      </w:r>
      <w:r w:rsidR="003B37C0">
        <w:t xml:space="preserve">a procedure with </w:t>
      </w:r>
      <w:r>
        <w:t xml:space="preserve"> a coarse level of accuracy</w:t>
      </w:r>
      <w:r w:rsidR="003B37C0">
        <w:t xml:space="preserve"> </w:t>
      </w:r>
      <w:r>
        <w:t>appropriate for short data sessions where</w:t>
      </w:r>
      <w:r w:rsidRPr="005A655A">
        <w:t xml:space="preserve"> </w:t>
      </w:r>
      <w:r>
        <w:t xml:space="preserve">only a small amount of data is transmitted in downlink and/or uplink. The key in the baseline procedure is to quickly find a suitable (coarse, good enough) beam pair link, deliver the data in one or only a few transmission opportunities, and then </w:t>
      </w:r>
      <w:r w:rsidR="003B37C0">
        <w:t xml:space="preserve">for the UE to </w:t>
      </w:r>
      <w:r>
        <w:t xml:space="preserve">go back to IDLE or RRC_INACTIVE. In the baseline, the focus is on quick, opportunistic data delivery rather than on robustness and throughput optimization. </w:t>
      </w:r>
      <w:r w:rsidR="003B37C0">
        <w:t>I</w:t>
      </w:r>
      <w:r>
        <w:t>t is envisioned that the baseline procedure is used in most cases.</w:t>
      </w:r>
    </w:p>
    <w:p w14:paraId="4186CA96" w14:textId="77777777" w:rsidR="003B37C0" w:rsidRDefault="003B37C0" w:rsidP="003B37C0">
      <w:r>
        <w:t xml:space="preserve">For longer data sessions which occur less often, an extended procedure </w:t>
      </w:r>
      <w:r w:rsidR="00B64782">
        <w:t>should</w:t>
      </w:r>
      <w:r>
        <w:t xml:space="preserve"> be applied with an enhanced level of accuracy. In this case, the UE spends more time in the RRC_ CONNECTED state, allowing the network to build in robustness and data throughput optimizations for both the control and data channels before the UE goes back to IDLE or RRC_INACTIVE. The division between short and long is not necessarily clear cut; however, the network has visibility on what procedures to invoke (baseline or extended), for example, using its knowledge of buffer states in both the DL and the UL.</w:t>
      </w:r>
    </w:p>
    <w:p w14:paraId="6B16C637" w14:textId="02CB7DF9" w:rsidR="003B37C0" w:rsidRDefault="00B64782" w:rsidP="00D86070">
      <w:r>
        <w:t xml:space="preserve">In the extended procedure, </w:t>
      </w:r>
      <w:r w:rsidR="003B37C0">
        <w:t xml:space="preserve">PDCCH </w:t>
      </w:r>
      <w:r>
        <w:t>robustness is built in through the</w:t>
      </w:r>
      <w:r w:rsidR="003B37C0">
        <w:t xml:space="preserve"> establishment of at leas</w:t>
      </w:r>
      <w:r>
        <w:t xml:space="preserve">t a second beam-pair link (BPL) as we propose in </w:t>
      </w:r>
      <w:r w:rsidR="003B37C0">
        <w:fldChar w:fldCharType="begin"/>
      </w:r>
      <w:r w:rsidR="003B37C0">
        <w:instrText xml:space="preserve"> REF _Ref471623877 \r \h </w:instrText>
      </w:r>
      <w:r w:rsidR="003B37C0">
        <w:fldChar w:fldCharType="separate"/>
      </w:r>
      <w:r w:rsidR="00400F3E">
        <w:t>[2]</w:t>
      </w:r>
      <w:r w:rsidR="003B37C0">
        <w:fldChar w:fldCharType="end"/>
      </w:r>
      <w:r w:rsidR="003B37C0">
        <w:t xml:space="preserve">. The first BPL </w:t>
      </w:r>
      <w:r>
        <w:t xml:space="preserve">established in the baseline procedure </w:t>
      </w:r>
      <w:r w:rsidR="003B37C0">
        <w:t xml:space="preserve">is referred to as the “active BPL,” and the second (backup) one as the “monitored BPL.” The purpose of having two links is for recovery from sudden blocking events that can occur at mmW frequencies. The approach proposed in </w:t>
      </w:r>
      <w:r w:rsidR="003B37C0">
        <w:fldChar w:fldCharType="begin"/>
      </w:r>
      <w:r w:rsidR="003B37C0">
        <w:instrText xml:space="preserve"> REF _Ref471623877 \r \h </w:instrText>
      </w:r>
      <w:r w:rsidR="003B37C0">
        <w:fldChar w:fldCharType="separate"/>
      </w:r>
      <w:r w:rsidR="00400F3E">
        <w:t>[2]</w:t>
      </w:r>
      <w:r w:rsidR="003B37C0">
        <w:fldChar w:fldCharType="end"/>
      </w:r>
      <w:r w:rsidR="003B37C0">
        <w:t xml:space="preserve"> is for the UE to periodically search for PDCCH transmissions on the</w:t>
      </w:r>
      <w:r w:rsidR="00AB3E8E">
        <w:t xml:space="preserve"> alternative,</w:t>
      </w:r>
      <w:r w:rsidR="003B37C0">
        <w:t xml:space="preserve"> monitored BPL with a relatively low duty cycle, e.g., 1 in 10 slots. The periodicity is agreed between gNB and UE such that the UE knows to switch its Rx beam to search for the PDCCH on the monitored BPL during the appropriate slot. In this way, if the active BPL is blocked, PDCCH </w:t>
      </w:r>
      <w:r w:rsidR="00AB3E8E">
        <w:t xml:space="preserve">can </w:t>
      </w:r>
      <w:r w:rsidR="003B37C0">
        <w:t xml:space="preserve">still get through. </w:t>
      </w:r>
      <w:r w:rsidR="00AB3E8E">
        <w:t>A blocked active link</w:t>
      </w:r>
      <w:r w:rsidR="003B37C0">
        <w:t xml:space="preserve"> can be detected </w:t>
      </w:r>
      <w:r w:rsidR="00AB3E8E">
        <w:t>by</w:t>
      </w:r>
      <w:r w:rsidR="00AD17DF">
        <w:t xml:space="preserve"> the gNB;</w:t>
      </w:r>
      <w:r w:rsidR="003B37C0">
        <w:t xml:space="preserve"> the gNB can </w:t>
      </w:r>
      <w:r w:rsidR="00AB3E8E">
        <w:t xml:space="preserve">then </w:t>
      </w:r>
      <w:r w:rsidR="003B37C0">
        <w:t>switch BPLs such that the monitored BPL becomes the new active BPL.</w:t>
      </w:r>
    </w:p>
    <w:p w14:paraId="63BF1122" w14:textId="77777777" w:rsidR="00B64782" w:rsidRDefault="00B64782" w:rsidP="00D86070">
      <w:r>
        <w:lastRenderedPageBreak/>
        <w:t>A key aspect of the proposed PDCCH robustness procedure is that it is network controlled. The network configures the UE with appropriate CSI-RS resources on which to measure, and the UE feeds back its selection on the best gNB Tx beam through CRI, akin to Class B, K&gt;1 ope</w:t>
      </w:r>
      <w:r w:rsidR="00EC1F2C">
        <w:t>ration in LTE. In addition, the CSI-RS resources and gNB beamforming can be configured in such a way that a gNB Tx beam is held fixed for some number of (sub)time units to allow the UE to optimize its Rx beam.</w:t>
      </w:r>
    </w:p>
    <w:p w14:paraId="34012795" w14:textId="77777777" w:rsidR="00D86070" w:rsidRDefault="00475848" w:rsidP="00D86070">
      <w:r>
        <w:t xml:space="preserve">Moreover, to </w:t>
      </w:r>
      <w:r w:rsidR="00D973F4">
        <w:t>track</w:t>
      </w:r>
      <w:r>
        <w:t xml:space="preserve"> UE mobility and rotation, both the active and monitored BPLs are continually updated. This can be achieved either through aperiodic triggering of CSI measurements (including CRI) to select </w:t>
      </w:r>
      <w:r w:rsidR="00D973F4">
        <w:t>new or better</w:t>
      </w:r>
      <w:r>
        <w:t xml:space="preserve"> gNB Tx/UE Rx beams, or through semi-persistent/periodic CSI measurements. The frequency/periodicity of the CSI measurements can also depend on the </w:t>
      </w:r>
      <w:r w:rsidR="00AB3E8E">
        <w:t xml:space="preserve">typical </w:t>
      </w:r>
      <w:r>
        <w:t>UE mobility</w:t>
      </w:r>
      <w:r w:rsidR="00AB3E8E">
        <w:t xml:space="preserve"> in the given deployment</w:t>
      </w:r>
      <w:r>
        <w:t>.</w:t>
      </w:r>
    </w:p>
    <w:p w14:paraId="2B585DFD" w14:textId="77777777" w:rsidR="00D973F4" w:rsidRDefault="00475848" w:rsidP="00D86070">
      <w:pPr>
        <w:rPr>
          <w:rFonts w:eastAsia="MS Mincho"/>
          <w:iCs/>
          <w:lang w:val="en-US" w:eastAsia="ja-JP"/>
        </w:rPr>
      </w:pPr>
      <w:r>
        <w:t xml:space="preserve">According to the second agreement listed above, the necessity of a UE initiated/controlled </w:t>
      </w:r>
      <w:r w:rsidR="00D973F4">
        <w:t xml:space="preserve">procedure for handling </w:t>
      </w:r>
      <w:r w:rsidR="00D973F4" w:rsidRPr="00D01521">
        <w:rPr>
          <w:rFonts w:eastAsia="MS Mincho"/>
          <w:iCs/>
          <w:lang w:val="en-US" w:eastAsia="ja-JP"/>
        </w:rPr>
        <w:t>UE mobility/rotation, blockage, and/or link failure</w:t>
      </w:r>
      <w:r w:rsidR="00D973F4">
        <w:rPr>
          <w:rFonts w:eastAsia="MS Mincho"/>
          <w:iCs/>
          <w:lang w:val="en-US" w:eastAsia="ja-JP"/>
        </w:rPr>
        <w:t xml:space="preserve"> should be studied. Our view is that network controlled PDCCH robustness mechanisms</w:t>
      </w:r>
      <w:r w:rsidR="009F62BE">
        <w:rPr>
          <w:rFonts w:eastAsia="MS Mincho"/>
          <w:iCs/>
          <w:lang w:val="en-US" w:eastAsia="ja-JP"/>
        </w:rPr>
        <w:t>,</w:t>
      </w:r>
      <w:r w:rsidR="00D973F4">
        <w:rPr>
          <w:rFonts w:eastAsia="MS Mincho"/>
          <w:iCs/>
          <w:lang w:val="en-US" w:eastAsia="ja-JP"/>
        </w:rPr>
        <w:t xml:space="preserve"> such as the one described above</w:t>
      </w:r>
      <w:r w:rsidR="009F62BE">
        <w:rPr>
          <w:rFonts w:eastAsia="MS Mincho"/>
          <w:iCs/>
          <w:lang w:val="en-US" w:eastAsia="ja-JP"/>
        </w:rPr>
        <w:t>,</w:t>
      </w:r>
      <w:r w:rsidR="00D973F4">
        <w:rPr>
          <w:rFonts w:eastAsia="MS Mincho"/>
          <w:iCs/>
          <w:lang w:val="en-US" w:eastAsia="ja-JP"/>
        </w:rPr>
        <w:t xml:space="preserve"> are sufficient for handling UE mobility and blockage events. In the case of complete link failure events, e.g., if both active and monitored BPLs are blocked (catastrophic condition), then it is appropriate for either the UE or network to declare a radio link failure (RLF) and initiate an RRC Connection Re-establishment procedure like in LTE. This procedure is UE initiated</w:t>
      </w:r>
      <w:r w:rsidR="009F62BE">
        <w:rPr>
          <w:rFonts w:eastAsia="MS Mincho"/>
          <w:iCs/>
          <w:lang w:val="en-US" w:eastAsia="ja-JP"/>
        </w:rPr>
        <w:t xml:space="preserve"> through a RACH attempt to the previous or a new cell/beam</w:t>
      </w:r>
      <w:r w:rsidR="00D973F4">
        <w:rPr>
          <w:rFonts w:eastAsia="MS Mincho"/>
          <w:iCs/>
          <w:lang w:val="en-US" w:eastAsia="ja-JP"/>
        </w:rPr>
        <w:t xml:space="preserve">, but it should only be used for complete link failure. </w:t>
      </w:r>
      <w:r w:rsidR="009F62BE">
        <w:rPr>
          <w:rFonts w:eastAsia="MS Mincho"/>
          <w:iCs/>
          <w:lang w:val="en-US" w:eastAsia="ja-JP"/>
        </w:rPr>
        <w:t>On</w:t>
      </w:r>
      <w:r w:rsidR="00AB3E8E">
        <w:rPr>
          <w:rFonts w:eastAsia="MS Mincho"/>
          <w:iCs/>
          <w:lang w:val="en-US" w:eastAsia="ja-JP"/>
        </w:rPr>
        <w:t>c</w:t>
      </w:r>
      <w:r w:rsidR="009F62BE">
        <w:rPr>
          <w:rFonts w:eastAsia="MS Mincho"/>
          <w:iCs/>
          <w:lang w:val="en-US" w:eastAsia="ja-JP"/>
        </w:rPr>
        <w:t>e the UE re-establishes the RRC Connection, the beam management process starts again with the baseline procedure and then moves to the extended procedure if still needed.</w:t>
      </w:r>
    </w:p>
    <w:p w14:paraId="781A8B19" w14:textId="77777777" w:rsidR="00AB3E8E" w:rsidRDefault="00D973F4" w:rsidP="00D86070">
      <w:pPr>
        <w:rPr>
          <w:rFonts w:eastAsia="MS Mincho"/>
          <w:iCs/>
          <w:lang w:val="en-US" w:eastAsia="ja-JP"/>
        </w:rPr>
      </w:pPr>
      <w:r>
        <w:rPr>
          <w:rFonts w:eastAsia="MS Mincho"/>
          <w:iCs/>
          <w:lang w:val="en-US" w:eastAsia="ja-JP"/>
        </w:rPr>
        <w:t xml:space="preserve">RAN2 is </w:t>
      </w:r>
      <w:r w:rsidR="009F62BE">
        <w:rPr>
          <w:rFonts w:eastAsia="MS Mincho"/>
          <w:iCs/>
          <w:lang w:val="en-US" w:eastAsia="ja-JP"/>
        </w:rPr>
        <w:t xml:space="preserve">still working through the details of how to support radio link monitoring (RLM) and RLF recovery for NR including what reference signals to use and </w:t>
      </w:r>
      <w:r w:rsidR="00AB3E8E">
        <w:rPr>
          <w:rFonts w:eastAsia="MS Mincho"/>
          <w:iCs/>
          <w:lang w:val="en-US" w:eastAsia="ja-JP"/>
        </w:rPr>
        <w:t xml:space="preserve">if needed, </w:t>
      </w:r>
      <w:r w:rsidR="009F62BE">
        <w:rPr>
          <w:rFonts w:eastAsia="MS Mincho"/>
          <w:iCs/>
          <w:lang w:val="en-US" w:eastAsia="ja-JP"/>
        </w:rPr>
        <w:t xml:space="preserve">how to reflect the hypothetical PDCCH quality even in the case where the UE is not scheduled. In our view it is premature to introduce a second UE initiated procedure specifically for beam management before the RLM/RLF details are finalized. </w:t>
      </w:r>
    </w:p>
    <w:p w14:paraId="2D573645" w14:textId="085A6290" w:rsidR="00AB3E8E" w:rsidRDefault="005011D1" w:rsidP="00D86070">
      <w:pPr>
        <w:rPr>
          <w:rFonts w:eastAsia="MS Mincho"/>
          <w:iCs/>
          <w:lang w:val="en-US" w:eastAsia="ja-JP"/>
        </w:rPr>
      </w:pPr>
      <w:r>
        <w:rPr>
          <w:rFonts w:eastAsia="MS Mincho"/>
          <w:iCs/>
          <w:lang w:val="en-US" w:eastAsia="ja-JP"/>
        </w:rPr>
        <w:t xml:space="preserve">Furthermore, it would be dangerous to introduce a second procedure due to potentially complex interaction of the procedures that may have different time constants. </w:t>
      </w:r>
      <w:r w:rsidR="00AB3E8E">
        <w:rPr>
          <w:rFonts w:eastAsia="MS Mincho"/>
          <w:iCs/>
          <w:lang w:val="en-US" w:eastAsia="ja-JP"/>
        </w:rPr>
        <w:t>Procedure</w:t>
      </w:r>
      <w:r w:rsidR="00E84024">
        <w:rPr>
          <w:rFonts w:eastAsia="MS Mincho"/>
          <w:iCs/>
          <w:lang w:val="en-US" w:eastAsia="ja-JP"/>
        </w:rPr>
        <w:t>s that are UE initiated require</w:t>
      </w:r>
      <w:r w:rsidR="00AB3E8E">
        <w:rPr>
          <w:rFonts w:eastAsia="MS Mincho"/>
          <w:iCs/>
          <w:lang w:val="en-US" w:eastAsia="ja-JP"/>
        </w:rPr>
        <w:t xml:space="preserve"> careful investigation of interference and required capacity etc. </w:t>
      </w:r>
      <w:r w:rsidR="00400F3E">
        <w:rPr>
          <w:rFonts w:eastAsia="MS Mincho"/>
          <w:iCs/>
          <w:lang w:val="en-US" w:eastAsia="ja-JP"/>
        </w:rPr>
        <w:t xml:space="preserve">Also, UE initiated transmissions </w:t>
      </w:r>
      <w:r w:rsidR="00AD17DF">
        <w:rPr>
          <w:rFonts w:eastAsia="MS Mincho"/>
          <w:iCs/>
          <w:lang w:val="en-US" w:eastAsia="ja-JP"/>
        </w:rPr>
        <w:t>have</w:t>
      </w:r>
      <w:r w:rsidR="00400F3E">
        <w:rPr>
          <w:rFonts w:eastAsia="MS Mincho"/>
          <w:iCs/>
          <w:lang w:val="en-US" w:eastAsia="ja-JP"/>
        </w:rPr>
        <w:t xml:space="preserve"> a large impact on gNB architecture and complexity, since at least in LTE, a special receiver is needed for PRACH reception.</w:t>
      </w:r>
    </w:p>
    <w:p w14:paraId="05C9B608" w14:textId="77777777" w:rsidR="009F62BE" w:rsidRDefault="009F62BE" w:rsidP="00D86070">
      <w:pPr>
        <w:rPr>
          <w:rFonts w:eastAsia="MS Mincho"/>
          <w:iCs/>
          <w:lang w:val="en-US" w:eastAsia="ja-JP"/>
        </w:rPr>
      </w:pPr>
      <w:r>
        <w:rPr>
          <w:rFonts w:eastAsia="MS Mincho"/>
          <w:iCs/>
          <w:lang w:val="en-US" w:eastAsia="ja-JP"/>
        </w:rPr>
        <w:t xml:space="preserve">Once </w:t>
      </w:r>
      <w:r w:rsidR="005011D1">
        <w:rPr>
          <w:rFonts w:eastAsia="MS Mincho"/>
          <w:iCs/>
          <w:lang w:val="en-US" w:eastAsia="ja-JP"/>
        </w:rPr>
        <w:t>the details of RLM/RLF procedures</w:t>
      </w:r>
      <w:r>
        <w:rPr>
          <w:rFonts w:eastAsia="MS Mincho"/>
          <w:iCs/>
          <w:lang w:val="en-US" w:eastAsia="ja-JP"/>
        </w:rPr>
        <w:t xml:space="preserve"> </w:t>
      </w:r>
      <w:r w:rsidR="005011D1">
        <w:rPr>
          <w:rFonts w:eastAsia="MS Mincho"/>
          <w:iCs/>
          <w:lang w:val="en-US" w:eastAsia="ja-JP"/>
        </w:rPr>
        <w:t xml:space="preserve">in RAN2 </w:t>
      </w:r>
      <w:r>
        <w:rPr>
          <w:rFonts w:eastAsia="MS Mincho"/>
          <w:iCs/>
          <w:lang w:val="en-US" w:eastAsia="ja-JP"/>
        </w:rPr>
        <w:t>are finalized,</w:t>
      </w:r>
      <w:r w:rsidR="00400F3E">
        <w:rPr>
          <w:rFonts w:eastAsia="MS Mincho"/>
          <w:iCs/>
          <w:lang w:val="en-US" w:eastAsia="ja-JP"/>
        </w:rPr>
        <w:t xml:space="preserve"> plus further understanding and agreements in RAN1 about beam management procedures for the non-recovery cases,</w:t>
      </w:r>
      <w:r>
        <w:rPr>
          <w:rFonts w:eastAsia="MS Mincho"/>
          <w:iCs/>
          <w:lang w:val="en-US" w:eastAsia="ja-JP"/>
        </w:rPr>
        <w:t xml:space="preserve"> there will be an opportunity to assess the performance of the specified PDCCH robustness procedures in combination with the specified RLM/RLF procedures. Only then will one know if additional procedures are required.</w:t>
      </w:r>
    </w:p>
    <w:p w14:paraId="265916E4" w14:textId="21039E5B" w:rsidR="00D973F4" w:rsidRDefault="005011D1" w:rsidP="005011D1">
      <w:pPr>
        <w:pStyle w:val="Proposal"/>
        <w:rPr>
          <w:rFonts w:eastAsia="MS Mincho"/>
          <w:lang w:val="en-US" w:eastAsia="ja-JP"/>
        </w:rPr>
      </w:pPr>
      <w:bookmarkStart w:id="3" w:name="_Toc471627029"/>
      <w:bookmarkStart w:id="4" w:name="_Toc471664674"/>
      <w:r>
        <w:rPr>
          <w:rFonts w:eastAsia="MS Mincho"/>
          <w:lang w:val="en-US" w:eastAsia="ja-JP"/>
        </w:rPr>
        <w:t xml:space="preserve">RAN1 should </w:t>
      </w:r>
      <w:r w:rsidR="00400F3E">
        <w:rPr>
          <w:rFonts w:eastAsia="MS Mincho"/>
          <w:lang w:val="en-US" w:eastAsia="ja-JP"/>
        </w:rPr>
        <w:t>have a better consensus and understanding of beam management procedures and await</w:t>
      </w:r>
      <w:r>
        <w:rPr>
          <w:rFonts w:eastAsia="MS Mincho"/>
          <w:lang w:val="en-US" w:eastAsia="ja-JP"/>
        </w:rPr>
        <w:t xml:space="preserve"> RAN2 </w:t>
      </w:r>
      <w:r w:rsidR="00400F3E">
        <w:rPr>
          <w:rFonts w:eastAsia="MS Mincho"/>
          <w:lang w:val="en-US" w:eastAsia="ja-JP"/>
        </w:rPr>
        <w:t>to</w:t>
      </w:r>
      <w:r>
        <w:rPr>
          <w:rFonts w:eastAsia="MS Mincho"/>
          <w:lang w:val="en-US" w:eastAsia="ja-JP"/>
        </w:rPr>
        <w:t xml:space="preserve"> finalize the details of the RLM/RLF procedures for NR before considering the introduction of any additional UE-initiated beam management procedure for recovering from beam quality degradation.</w:t>
      </w:r>
      <w:bookmarkEnd w:id="3"/>
      <w:bookmarkEnd w:id="4"/>
    </w:p>
    <w:p w14:paraId="42CFF554" w14:textId="77777777" w:rsidR="00C01F33" w:rsidRPr="00CE0424" w:rsidRDefault="00C01F33" w:rsidP="003A0E41">
      <w:pPr>
        <w:pStyle w:val="Heading1"/>
      </w:pPr>
      <w:r w:rsidRPr="00CE0424">
        <w:t>Conclusion</w:t>
      </w:r>
      <w:r w:rsidR="00AE2FEB">
        <w:t>s</w:t>
      </w:r>
    </w:p>
    <w:p w14:paraId="528A04AE" w14:textId="77777777" w:rsidR="00AD17DF" w:rsidRDefault="00E5689D" w:rsidP="00AD17DF">
      <w:pPr>
        <w:pStyle w:val="BodyText"/>
      </w:pPr>
      <w:r>
        <w:t xml:space="preserve">Based on the discussion </w:t>
      </w:r>
      <w:r w:rsidR="009C6832">
        <w:t>in this contri</w:t>
      </w:r>
      <w:r w:rsidR="003A0E41">
        <w:t>bution</w:t>
      </w:r>
      <w:r w:rsidR="008E065E" w:rsidRPr="00CE0424">
        <w:t xml:space="preserve"> we propose the following:</w:t>
      </w:r>
    </w:p>
    <w:p w14:paraId="3F0382D0" w14:textId="5E67E35B" w:rsidR="00400F3E" w:rsidRPr="00E84024" w:rsidRDefault="00E5689D">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400F3E" w:rsidRPr="001B26D9">
        <w:rPr>
          <w:rFonts w:eastAsia="MS Mincho"/>
          <w:lang w:eastAsia="ja-JP"/>
        </w:rPr>
        <w:t>Proposal 1</w:t>
      </w:r>
      <w:r w:rsidR="00400F3E" w:rsidRPr="00E84024">
        <w:rPr>
          <w:rFonts w:asciiTheme="minorHAnsi" w:eastAsiaTheme="minorEastAsia" w:hAnsiTheme="minorHAnsi" w:cstheme="minorBidi"/>
          <w:b w:val="0"/>
          <w:sz w:val="22"/>
          <w:lang w:eastAsia="sv-SE"/>
        </w:rPr>
        <w:tab/>
      </w:r>
      <w:r w:rsidR="00400F3E" w:rsidRPr="001B26D9">
        <w:rPr>
          <w:rFonts w:eastAsia="MS Mincho"/>
          <w:lang w:eastAsia="ja-JP"/>
        </w:rPr>
        <w:t>RAN1 should have a better consensus and understanding of beam management procedures and await RAN2 to finalize the details of the RLM/RLF procedures for NR before considering the introduction of any additional UE-initiated beam management procedure for recovering from beam quality degradation.</w:t>
      </w:r>
    </w:p>
    <w:p w14:paraId="5E037BF7" w14:textId="77777777" w:rsidR="00C01F33" w:rsidRPr="00790B99" w:rsidRDefault="00E5689D" w:rsidP="00E5689D">
      <w:pPr>
        <w:pStyle w:val="BodyText"/>
        <w:rPr>
          <w:b/>
          <w:bCs/>
        </w:rPr>
      </w:pPr>
      <w:r>
        <w:rPr>
          <w:b/>
          <w:bCs/>
        </w:rPr>
        <w:fldChar w:fldCharType="end"/>
      </w:r>
    </w:p>
    <w:p w14:paraId="46B79F74" w14:textId="77777777" w:rsidR="00F507D1" w:rsidRPr="00CE0424" w:rsidRDefault="00F507D1" w:rsidP="00CE0424">
      <w:pPr>
        <w:pStyle w:val="Heading1"/>
      </w:pPr>
      <w:bookmarkStart w:id="5" w:name="_In-sequence_SDU_delivery"/>
      <w:bookmarkEnd w:id="5"/>
      <w:r w:rsidRPr="00CE0424">
        <w:t>References</w:t>
      </w:r>
    </w:p>
    <w:p w14:paraId="0D6CEE20" w14:textId="005F4728" w:rsidR="00D86070" w:rsidRPr="00CE0424" w:rsidRDefault="00D86070" w:rsidP="00D86070">
      <w:pPr>
        <w:pStyle w:val="Reference"/>
      </w:pPr>
      <w:bookmarkStart w:id="6" w:name="_Ref471623790"/>
      <w:bookmarkStart w:id="7" w:name="_Ref471303880"/>
      <w:r>
        <w:t>R1-17</w:t>
      </w:r>
      <w:r w:rsidR="00AD17DF">
        <w:t>00763</w:t>
      </w:r>
      <w:r>
        <w:t>, “DL beam management overview,” Ericsson, RAN1#87ah-NR, January 2017.</w:t>
      </w:r>
      <w:bookmarkEnd w:id="6"/>
    </w:p>
    <w:p w14:paraId="26F7F1F5" w14:textId="2C6D8728" w:rsidR="003A7EF3" w:rsidRDefault="00D86070" w:rsidP="00D86070">
      <w:pPr>
        <w:pStyle w:val="Reference"/>
      </w:pPr>
      <w:bookmarkStart w:id="8" w:name="_Ref471623877"/>
      <w:r>
        <w:t>R1-17</w:t>
      </w:r>
      <w:r w:rsidR="00AD17DF">
        <w:t>00748</w:t>
      </w:r>
      <w:r>
        <w:t>, “On robust beam management,” Ericsson, RAN1#87ah-NR, January 2017.</w:t>
      </w:r>
      <w:bookmarkEnd w:id="7"/>
      <w:bookmarkEnd w:id="8"/>
    </w:p>
    <w:sectPr w:rsidR="003A7EF3" w:rsidSect="00C02A4C">
      <w:headerReference w:type="even" r:id="rId8"/>
      <w:footerReference w:type="default" r:id="rId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1A432A" w14:textId="77777777" w:rsidR="003128AF" w:rsidRDefault="003128AF">
      <w:r>
        <w:separator/>
      </w:r>
    </w:p>
  </w:endnote>
  <w:endnote w:type="continuationSeparator" w:id="0">
    <w:p w14:paraId="5C312169" w14:textId="77777777" w:rsidR="003128AF" w:rsidRDefault="00312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4953A" w14:textId="2FFD878C"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56CC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56CC4">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6DE8E7" w14:textId="77777777" w:rsidR="003128AF" w:rsidRDefault="003128AF">
      <w:r>
        <w:separator/>
      </w:r>
    </w:p>
  </w:footnote>
  <w:footnote w:type="continuationSeparator" w:id="0">
    <w:p w14:paraId="0DCA22F1" w14:textId="77777777" w:rsidR="003128AF" w:rsidRDefault="003128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D63E02"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5B909B2"/>
    <w:multiLevelType w:val="hybridMultilevel"/>
    <w:tmpl w:val="396069B8"/>
    <w:lvl w:ilvl="0" w:tplc="58E0FE9C">
      <w:start w:val="1"/>
      <w:numFmt w:val="bullet"/>
      <w:lvlText w:val="•"/>
      <w:lvlJc w:val="left"/>
      <w:pPr>
        <w:tabs>
          <w:tab w:val="num" w:pos="720"/>
        </w:tabs>
        <w:ind w:left="720" w:hanging="360"/>
      </w:pPr>
      <w:rPr>
        <w:rFonts w:ascii="Arial" w:hAnsi="Arial" w:hint="default"/>
      </w:rPr>
    </w:lvl>
    <w:lvl w:ilvl="1" w:tplc="3C42384A">
      <w:start w:val="302"/>
      <w:numFmt w:val="bullet"/>
      <w:lvlText w:val="–"/>
      <w:lvlJc w:val="left"/>
      <w:pPr>
        <w:tabs>
          <w:tab w:val="num" w:pos="1440"/>
        </w:tabs>
        <w:ind w:left="1440" w:hanging="360"/>
      </w:pPr>
      <w:rPr>
        <w:rFonts w:ascii="Arial" w:hAnsi="Arial" w:hint="default"/>
      </w:rPr>
    </w:lvl>
    <w:lvl w:ilvl="2" w:tplc="FD1E3602" w:tentative="1">
      <w:start w:val="1"/>
      <w:numFmt w:val="bullet"/>
      <w:lvlText w:val="•"/>
      <w:lvlJc w:val="left"/>
      <w:pPr>
        <w:tabs>
          <w:tab w:val="num" w:pos="2160"/>
        </w:tabs>
        <w:ind w:left="2160" w:hanging="360"/>
      </w:pPr>
      <w:rPr>
        <w:rFonts w:ascii="Arial" w:hAnsi="Arial" w:hint="default"/>
      </w:rPr>
    </w:lvl>
    <w:lvl w:ilvl="3" w:tplc="633205BC" w:tentative="1">
      <w:start w:val="1"/>
      <w:numFmt w:val="bullet"/>
      <w:lvlText w:val="•"/>
      <w:lvlJc w:val="left"/>
      <w:pPr>
        <w:tabs>
          <w:tab w:val="num" w:pos="2880"/>
        </w:tabs>
        <w:ind w:left="2880" w:hanging="360"/>
      </w:pPr>
      <w:rPr>
        <w:rFonts w:ascii="Arial" w:hAnsi="Arial" w:hint="default"/>
      </w:rPr>
    </w:lvl>
    <w:lvl w:ilvl="4" w:tplc="59904DB6" w:tentative="1">
      <w:start w:val="1"/>
      <w:numFmt w:val="bullet"/>
      <w:lvlText w:val="•"/>
      <w:lvlJc w:val="left"/>
      <w:pPr>
        <w:tabs>
          <w:tab w:val="num" w:pos="3600"/>
        </w:tabs>
        <w:ind w:left="3600" w:hanging="360"/>
      </w:pPr>
      <w:rPr>
        <w:rFonts w:ascii="Arial" w:hAnsi="Arial" w:hint="default"/>
      </w:rPr>
    </w:lvl>
    <w:lvl w:ilvl="5" w:tplc="C8643722" w:tentative="1">
      <w:start w:val="1"/>
      <w:numFmt w:val="bullet"/>
      <w:lvlText w:val="•"/>
      <w:lvlJc w:val="left"/>
      <w:pPr>
        <w:tabs>
          <w:tab w:val="num" w:pos="4320"/>
        </w:tabs>
        <w:ind w:left="4320" w:hanging="360"/>
      </w:pPr>
      <w:rPr>
        <w:rFonts w:ascii="Arial" w:hAnsi="Arial" w:hint="default"/>
      </w:rPr>
    </w:lvl>
    <w:lvl w:ilvl="6" w:tplc="92D0A932" w:tentative="1">
      <w:start w:val="1"/>
      <w:numFmt w:val="bullet"/>
      <w:lvlText w:val="•"/>
      <w:lvlJc w:val="left"/>
      <w:pPr>
        <w:tabs>
          <w:tab w:val="num" w:pos="5040"/>
        </w:tabs>
        <w:ind w:left="5040" w:hanging="360"/>
      </w:pPr>
      <w:rPr>
        <w:rFonts w:ascii="Arial" w:hAnsi="Arial" w:hint="default"/>
      </w:rPr>
    </w:lvl>
    <w:lvl w:ilvl="7" w:tplc="79BEDDEC" w:tentative="1">
      <w:start w:val="1"/>
      <w:numFmt w:val="bullet"/>
      <w:lvlText w:val="•"/>
      <w:lvlJc w:val="left"/>
      <w:pPr>
        <w:tabs>
          <w:tab w:val="num" w:pos="5760"/>
        </w:tabs>
        <w:ind w:left="5760" w:hanging="360"/>
      </w:pPr>
      <w:rPr>
        <w:rFonts w:ascii="Arial" w:hAnsi="Arial" w:hint="default"/>
      </w:rPr>
    </w:lvl>
    <w:lvl w:ilvl="8" w:tplc="1FB234C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A41D08"/>
    <w:multiLevelType w:val="hybridMultilevel"/>
    <w:tmpl w:val="763C3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E5263D6"/>
    <w:multiLevelType w:val="hybridMultilevel"/>
    <w:tmpl w:val="1C1E0CB2"/>
    <w:lvl w:ilvl="0" w:tplc="2362F04A">
      <w:start w:val="1"/>
      <w:numFmt w:val="bullet"/>
      <w:lvlText w:val="•"/>
      <w:lvlJc w:val="left"/>
      <w:pPr>
        <w:tabs>
          <w:tab w:val="num" w:pos="720"/>
        </w:tabs>
        <w:ind w:left="720" w:hanging="360"/>
      </w:pPr>
      <w:rPr>
        <w:rFonts w:ascii="Arial" w:hAnsi="Arial" w:hint="default"/>
      </w:rPr>
    </w:lvl>
    <w:lvl w:ilvl="1" w:tplc="F05446F8">
      <w:start w:val="84"/>
      <w:numFmt w:val="bullet"/>
      <w:lvlText w:val="–"/>
      <w:lvlJc w:val="left"/>
      <w:pPr>
        <w:tabs>
          <w:tab w:val="num" w:pos="1440"/>
        </w:tabs>
        <w:ind w:left="1440" w:hanging="360"/>
      </w:pPr>
      <w:rPr>
        <w:rFonts w:ascii="Arial" w:hAnsi="Arial" w:hint="default"/>
      </w:rPr>
    </w:lvl>
    <w:lvl w:ilvl="2" w:tplc="0F129D54">
      <w:start w:val="84"/>
      <w:numFmt w:val="bullet"/>
      <w:lvlText w:val="•"/>
      <w:lvlJc w:val="left"/>
      <w:pPr>
        <w:tabs>
          <w:tab w:val="num" w:pos="2160"/>
        </w:tabs>
        <w:ind w:left="2160" w:hanging="360"/>
      </w:pPr>
      <w:rPr>
        <w:rFonts w:ascii="Arial" w:hAnsi="Arial" w:hint="default"/>
      </w:rPr>
    </w:lvl>
    <w:lvl w:ilvl="3" w:tplc="20084DAE">
      <w:start w:val="1"/>
      <w:numFmt w:val="bullet"/>
      <w:lvlText w:val="•"/>
      <w:lvlJc w:val="left"/>
      <w:pPr>
        <w:tabs>
          <w:tab w:val="num" w:pos="2880"/>
        </w:tabs>
        <w:ind w:left="2880" w:hanging="360"/>
      </w:pPr>
      <w:rPr>
        <w:rFonts w:ascii="Arial" w:hAnsi="Arial" w:hint="default"/>
      </w:rPr>
    </w:lvl>
    <w:lvl w:ilvl="4" w:tplc="9F56211C" w:tentative="1">
      <w:start w:val="1"/>
      <w:numFmt w:val="bullet"/>
      <w:lvlText w:val="•"/>
      <w:lvlJc w:val="left"/>
      <w:pPr>
        <w:tabs>
          <w:tab w:val="num" w:pos="3600"/>
        </w:tabs>
        <w:ind w:left="3600" w:hanging="360"/>
      </w:pPr>
      <w:rPr>
        <w:rFonts w:ascii="Arial" w:hAnsi="Arial" w:hint="default"/>
      </w:rPr>
    </w:lvl>
    <w:lvl w:ilvl="5" w:tplc="96582AE4" w:tentative="1">
      <w:start w:val="1"/>
      <w:numFmt w:val="bullet"/>
      <w:lvlText w:val="•"/>
      <w:lvlJc w:val="left"/>
      <w:pPr>
        <w:tabs>
          <w:tab w:val="num" w:pos="4320"/>
        </w:tabs>
        <w:ind w:left="4320" w:hanging="360"/>
      </w:pPr>
      <w:rPr>
        <w:rFonts w:ascii="Arial" w:hAnsi="Arial" w:hint="default"/>
      </w:rPr>
    </w:lvl>
    <w:lvl w:ilvl="6" w:tplc="DFC40936" w:tentative="1">
      <w:start w:val="1"/>
      <w:numFmt w:val="bullet"/>
      <w:lvlText w:val="•"/>
      <w:lvlJc w:val="left"/>
      <w:pPr>
        <w:tabs>
          <w:tab w:val="num" w:pos="5040"/>
        </w:tabs>
        <w:ind w:left="5040" w:hanging="360"/>
      </w:pPr>
      <w:rPr>
        <w:rFonts w:ascii="Arial" w:hAnsi="Arial" w:hint="default"/>
      </w:rPr>
    </w:lvl>
    <w:lvl w:ilvl="7" w:tplc="A5B231E8" w:tentative="1">
      <w:start w:val="1"/>
      <w:numFmt w:val="bullet"/>
      <w:lvlText w:val="•"/>
      <w:lvlJc w:val="left"/>
      <w:pPr>
        <w:tabs>
          <w:tab w:val="num" w:pos="5760"/>
        </w:tabs>
        <w:ind w:left="5760" w:hanging="360"/>
      </w:pPr>
      <w:rPr>
        <w:rFonts w:ascii="Arial" w:hAnsi="Arial" w:hint="default"/>
      </w:rPr>
    </w:lvl>
    <w:lvl w:ilvl="8" w:tplc="1820C76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4AD7E55"/>
    <w:multiLevelType w:val="hybridMultilevel"/>
    <w:tmpl w:val="BFA48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34045F"/>
    <w:multiLevelType w:val="hybridMultilevel"/>
    <w:tmpl w:val="C362FB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3"/>
  </w:num>
  <w:num w:numId="3">
    <w:abstractNumId w:val="10"/>
  </w:num>
  <w:num w:numId="4">
    <w:abstractNumId w:val="11"/>
  </w:num>
  <w:num w:numId="5">
    <w:abstractNumId w:val="7"/>
  </w:num>
  <w:num w:numId="6">
    <w:abstractNumId w:val="12"/>
  </w:num>
  <w:num w:numId="7">
    <w:abstractNumId w:val="16"/>
  </w:num>
  <w:num w:numId="8">
    <w:abstractNumId w:val="8"/>
  </w:num>
  <w:num w:numId="9">
    <w:abstractNumId w:val="6"/>
  </w:num>
  <w:num w:numId="10">
    <w:abstractNumId w:val="2"/>
  </w:num>
  <w:num w:numId="11">
    <w:abstractNumId w:val="1"/>
  </w:num>
  <w:num w:numId="12">
    <w:abstractNumId w:val="0"/>
  </w:num>
  <w:num w:numId="13">
    <w:abstractNumId w:val="15"/>
  </w:num>
  <w:num w:numId="14">
    <w:abstractNumId w:val="9"/>
  </w:num>
  <w:num w:numId="15">
    <w:abstractNumId w:val="17"/>
  </w:num>
  <w:num w:numId="16">
    <w:abstractNumId w:val="14"/>
  </w:num>
  <w:num w:numId="17">
    <w:abstractNumId w:val="4"/>
  </w:num>
  <w:num w:numId="18">
    <w:abstractNumId w:val="18"/>
  </w:num>
  <w:num w:numId="1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8"/>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5B87"/>
    <w:rsid w:val="001062FB"/>
    <w:rsid w:val="001063E6"/>
    <w:rsid w:val="00113CF4"/>
    <w:rsid w:val="0011520E"/>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822BD"/>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28AF"/>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37C0"/>
    <w:rsid w:val="003B7FE5"/>
    <w:rsid w:val="003C11C8"/>
    <w:rsid w:val="003C2702"/>
    <w:rsid w:val="003C7806"/>
    <w:rsid w:val="003D109F"/>
    <w:rsid w:val="003D2478"/>
    <w:rsid w:val="003D3C45"/>
    <w:rsid w:val="003D5B1F"/>
    <w:rsid w:val="003E15FA"/>
    <w:rsid w:val="003E55E4"/>
    <w:rsid w:val="003E74E3"/>
    <w:rsid w:val="003F05C7"/>
    <w:rsid w:val="003F2CD4"/>
    <w:rsid w:val="003F5B5D"/>
    <w:rsid w:val="003F6BBE"/>
    <w:rsid w:val="004000E8"/>
    <w:rsid w:val="00400F3E"/>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222B"/>
    <w:rsid w:val="004669E2"/>
    <w:rsid w:val="00470C31"/>
    <w:rsid w:val="004734D0"/>
    <w:rsid w:val="0047556B"/>
    <w:rsid w:val="00475848"/>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11D1"/>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76AD6"/>
    <w:rsid w:val="00582809"/>
    <w:rsid w:val="0058798C"/>
    <w:rsid w:val="005900FA"/>
    <w:rsid w:val="00590DAF"/>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6F22"/>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6CC4"/>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20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9F62BE"/>
    <w:rsid w:val="00A031D8"/>
    <w:rsid w:val="00A048A8"/>
    <w:rsid w:val="00A04F49"/>
    <w:rsid w:val="00A05BB7"/>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3E8E"/>
    <w:rsid w:val="00AB4AB8"/>
    <w:rsid w:val="00AB655E"/>
    <w:rsid w:val="00AC007F"/>
    <w:rsid w:val="00AC2ECD"/>
    <w:rsid w:val="00AC3119"/>
    <w:rsid w:val="00AC49FB"/>
    <w:rsid w:val="00AC5A10"/>
    <w:rsid w:val="00AD0AA3"/>
    <w:rsid w:val="00AD17DF"/>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4782"/>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070"/>
    <w:rsid w:val="00D86CA3"/>
    <w:rsid w:val="00D871CE"/>
    <w:rsid w:val="00D9196D"/>
    <w:rsid w:val="00D92982"/>
    <w:rsid w:val="00D973F4"/>
    <w:rsid w:val="00DA305E"/>
    <w:rsid w:val="00DA5417"/>
    <w:rsid w:val="00DA56E8"/>
    <w:rsid w:val="00DB0A9F"/>
    <w:rsid w:val="00DB377D"/>
    <w:rsid w:val="00DC2D36"/>
    <w:rsid w:val="00DC53EF"/>
    <w:rsid w:val="00DE5608"/>
    <w:rsid w:val="00DE58D0"/>
    <w:rsid w:val="00DE654F"/>
    <w:rsid w:val="00DF0B6E"/>
    <w:rsid w:val="00DF15E0"/>
    <w:rsid w:val="00DF37A0"/>
    <w:rsid w:val="00DF7EEE"/>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2EFC"/>
    <w:rsid w:val="00E758EC"/>
    <w:rsid w:val="00E8234C"/>
    <w:rsid w:val="00E83AA9"/>
    <w:rsid w:val="00E84024"/>
    <w:rsid w:val="00E85928"/>
    <w:rsid w:val="00E87822"/>
    <w:rsid w:val="00E90395"/>
    <w:rsid w:val="00E90E49"/>
    <w:rsid w:val="00E917F9"/>
    <w:rsid w:val="00E9291C"/>
    <w:rsid w:val="00E93FFE"/>
    <w:rsid w:val="00E94F8A"/>
    <w:rsid w:val="00EA4B16"/>
    <w:rsid w:val="00EA7A41"/>
    <w:rsid w:val="00EB077B"/>
    <w:rsid w:val="00EB4EA2"/>
    <w:rsid w:val="00EC1F2C"/>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70DC"/>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4675"/>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560C9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56CC4"/>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756CC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756CC4"/>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756CC4"/>
    <w:pPr>
      <w:numPr>
        <w:ilvl w:val="2"/>
      </w:numPr>
      <w:spacing w:before="120"/>
      <w:outlineLvl w:val="2"/>
    </w:pPr>
    <w:rPr>
      <w:sz w:val="24"/>
      <w:szCs w:val="28"/>
    </w:rPr>
  </w:style>
  <w:style w:type="paragraph" w:styleId="Heading4">
    <w:name w:val="heading 4"/>
    <w:basedOn w:val="Heading3"/>
    <w:next w:val="Normal"/>
    <w:qFormat/>
    <w:rsid w:val="00756CC4"/>
    <w:pPr>
      <w:numPr>
        <w:ilvl w:val="3"/>
      </w:numPr>
      <w:outlineLvl w:val="3"/>
    </w:pPr>
    <w:rPr>
      <w:szCs w:val="24"/>
    </w:rPr>
  </w:style>
  <w:style w:type="paragraph" w:styleId="Heading5">
    <w:name w:val="heading 5"/>
    <w:basedOn w:val="Heading4"/>
    <w:next w:val="Normal"/>
    <w:qFormat/>
    <w:rsid w:val="00756CC4"/>
    <w:pPr>
      <w:numPr>
        <w:ilvl w:val="4"/>
      </w:numPr>
      <w:outlineLvl w:val="4"/>
    </w:pPr>
    <w:rPr>
      <w:sz w:val="22"/>
      <w:szCs w:val="22"/>
    </w:rPr>
  </w:style>
  <w:style w:type="paragraph" w:styleId="Heading6">
    <w:name w:val="heading 6"/>
    <w:basedOn w:val="Normal"/>
    <w:next w:val="Normal"/>
    <w:qFormat/>
    <w:rsid w:val="00756CC4"/>
    <w:pPr>
      <w:keepNext/>
      <w:keepLines/>
      <w:numPr>
        <w:ilvl w:val="5"/>
        <w:numId w:val="1"/>
      </w:numPr>
      <w:spacing w:before="120"/>
      <w:outlineLvl w:val="5"/>
    </w:pPr>
    <w:rPr>
      <w:rFonts w:cs="Arial"/>
    </w:rPr>
  </w:style>
  <w:style w:type="paragraph" w:styleId="Heading7">
    <w:name w:val="heading 7"/>
    <w:basedOn w:val="Normal"/>
    <w:next w:val="Normal"/>
    <w:qFormat/>
    <w:rsid w:val="00756CC4"/>
    <w:pPr>
      <w:keepNext/>
      <w:keepLines/>
      <w:numPr>
        <w:ilvl w:val="6"/>
        <w:numId w:val="1"/>
      </w:numPr>
      <w:spacing w:before="120"/>
      <w:outlineLvl w:val="6"/>
    </w:pPr>
    <w:rPr>
      <w:rFonts w:cs="Arial"/>
    </w:rPr>
  </w:style>
  <w:style w:type="paragraph" w:styleId="Heading8">
    <w:name w:val="heading 8"/>
    <w:basedOn w:val="Heading7"/>
    <w:next w:val="Normal"/>
    <w:qFormat/>
    <w:rsid w:val="00756CC4"/>
    <w:pPr>
      <w:numPr>
        <w:ilvl w:val="7"/>
      </w:numPr>
      <w:outlineLvl w:val="7"/>
    </w:pPr>
  </w:style>
  <w:style w:type="paragraph" w:styleId="Heading9">
    <w:name w:val="heading 9"/>
    <w:basedOn w:val="Heading8"/>
    <w:next w:val="Normal"/>
    <w:qFormat/>
    <w:rsid w:val="00756CC4"/>
    <w:pPr>
      <w:numPr>
        <w:ilvl w:val="8"/>
      </w:numPr>
      <w:outlineLvl w:val="8"/>
    </w:pPr>
  </w:style>
  <w:style w:type="character" w:default="1" w:styleId="DefaultParagraphFont">
    <w:name w:val="Default Paragraph Font"/>
    <w:uiPriority w:val="1"/>
    <w:semiHidden/>
    <w:unhideWhenUsed/>
    <w:rsid w:val="00756CC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56CC4"/>
  </w:style>
  <w:style w:type="paragraph" w:styleId="TOC8">
    <w:name w:val="toc 8"/>
    <w:basedOn w:val="TOC1"/>
    <w:semiHidden/>
    <w:rsid w:val="00756CC4"/>
    <w:pPr>
      <w:spacing w:before="180"/>
      <w:ind w:left="2693" w:hanging="2693"/>
    </w:pPr>
    <w:rPr>
      <w:b w:val="0"/>
      <w:bCs/>
    </w:rPr>
  </w:style>
  <w:style w:type="paragraph" w:styleId="TOC1">
    <w:name w:val="toc 1"/>
    <w:aliases w:val="Observation TOC2"/>
    <w:uiPriority w:val="39"/>
    <w:rsid w:val="00756CC4"/>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756CC4"/>
    <w:pPr>
      <w:keepNext/>
      <w:keepLines/>
      <w:spacing w:before="180"/>
      <w:jc w:val="center"/>
    </w:pPr>
  </w:style>
  <w:style w:type="paragraph" w:styleId="Caption">
    <w:name w:val="caption"/>
    <w:basedOn w:val="Normal"/>
    <w:next w:val="Normal"/>
    <w:qFormat/>
    <w:rsid w:val="00756CC4"/>
    <w:pPr>
      <w:spacing w:after="240"/>
      <w:jc w:val="center"/>
    </w:pPr>
    <w:rPr>
      <w:b/>
      <w:bCs/>
    </w:rPr>
  </w:style>
  <w:style w:type="paragraph" w:styleId="TOC5">
    <w:name w:val="toc 5"/>
    <w:aliases w:val="Observation TOC"/>
    <w:basedOn w:val="TOC4"/>
    <w:semiHidden/>
    <w:rsid w:val="00756CC4"/>
    <w:pPr>
      <w:tabs>
        <w:tab w:val="right" w:pos="1701"/>
      </w:tabs>
      <w:ind w:left="1701" w:hanging="1701"/>
    </w:pPr>
  </w:style>
  <w:style w:type="paragraph" w:styleId="TOC4">
    <w:name w:val="toc 4"/>
    <w:basedOn w:val="TOC3"/>
    <w:semiHidden/>
    <w:rsid w:val="00756CC4"/>
    <w:pPr>
      <w:ind w:left="1418" w:hanging="1418"/>
    </w:pPr>
  </w:style>
  <w:style w:type="paragraph" w:styleId="TOC3">
    <w:name w:val="toc 3"/>
    <w:basedOn w:val="TOC2"/>
    <w:semiHidden/>
    <w:rsid w:val="00756CC4"/>
    <w:pPr>
      <w:ind w:left="1134" w:hanging="1134"/>
    </w:pPr>
  </w:style>
  <w:style w:type="paragraph" w:styleId="TOC2">
    <w:name w:val="toc 2"/>
    <w:basedOn w:val="TOC1"/>
    <w:semiHidden/>
    <w:rsid w:val="00756CC4"/>
    <w:pPr>
      <w:keepNext w:val="0"/>
      <w:spacing w:before="0"/>
      <w:ind w:left="851" w:hanging="851"/>
    </w:pPr>
    <w:rPr>
      <w:szCs w:val="20"/>
    </w:rPr>
  </w:style>
  <w:style w:type="paragraph" w:styleId="Index2">
    <w:name w:val="index 2"/>
    <w:basedOn w:val="Index1"/>
    <w:semiHidden/>
    <w:rsid w:val="00756CC4"/>
    <w:pPr>
      <w:ind w:left="284"/>
    </w:pPr>
  </w:style>
  <w:style w:type="paragraph" w:styleId="Index1">
    <w:name w:val="index 1"/>
    <w:basedOn w:val="Normal"/>
    <w:semiHidden/>
    <w:rsid w:val="00756CC4"/>
    <w:pPr>
      <w:keepLines/>
      <w:spacing w:after="0"/>
    </w:pPr>
  </w:style>
  <w:style w:type="paragraph" w:styleId="DocumentMap">
    <w:name w:val="Document Map"/>
    <w:basedOn w:val="Normal"/>
    <w:semiHidden/>
    <w:rsid w:val="00756CC4"/>
    <w:pPr>
      <w:shd w:val="clear" w:color="auto" w:fill="000080"/>
    </w:pPr>
    <w:rPr>
      <w:rFonts w:ascii="Tahoma" w:hAnsi="Tahoma" w:cs="Tahoma"/>
    </w:rPr>
  </w:style>
  <w:style w:type="paragraph" w:styleId="ListNumber2">
    <w:name w:val="List Number 2"/>
    <w:basedOn w:val="ListNumber"/>
    <w:rsid w:val="00756CC4"/>
    <w:pPr>
      <w:ind w:left="851"/>
    </w:pPr>
  </w:style>
  <w:style w:type="paragraph" w:styleId="ListNumber">
    <w:name w:val="List Number"/>
    <w:basedOn w:val="List"/>
    <w:rsid w:val="00756CC4"/>
  </w:style>
  <w:style w:type="paragraph" w:styleId="List">
    <w:name w:val="List"/>
    <w:basedOn w:val="Normal"/>
    <w:rsid w:val="00756CC4"/>
    <w:pPr>
      <w:ind w:left="568" w:hanging="284"/>
    </w:pPr>
  </w:style>
  <w:style w:type="paragraph" w:styleId="Header">
    <w:name w:val="header"/>
    <w:rsid w:val="00756CC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56CC4"/>
    <w:rPr>
      <w:b/>
      <w:bCs/>
      <w:position w:val="6"/>
      <w:sz w:val="16"/>
      <w:szCs w:val="16"/>
    </w:rPr>
  </w:style>
  <w:style w:type="paragraph" w:styleId="FootnoteText">
    <w:name w:val="footnote text"/>
    <w:basedOn w:val="Normal"/>
    <w:semiHidden/>
    <w:rsid w:val="00756CC4"/>
    <w:pPr>
      <w:keepLines/>
      <w:spacing w:after="0"/>
      <w:ind w:left="454" w:hanging="454"/>
    </w:pPr>
    <w:rPr>
      <w:sz w:val="16"/>
      <w:szCs w:val="16"/>
    </w:rPr>
  </w:style>
  <w:style w:type="paragraph" w:customStyle="1" w:styleId="3GPPHeader">
    <w:name w:val="3GPP_Header"/>
    <w:basedOn w:val="Normal"/>
    <w:qFormat/>
    <w:rsid w:val="00756CC4"/>
    <w:pPr>
      <w:tabs>
        <w:tab w:val="left" w:pos="1800"/>
        <w:tab w:val="right" w:pos="9360"/>
      </w:tabs>
      <w:spacing w:after="0"/>
    </w:pPr>
    <w:rPr>
      <w:rFonts w:ascii="Arial" w:hAnsi="Arial"/>
      <w:b/>
    </w:rPr>
  </w:style>
  <w:style w:type="paragraph" w:styleId="TOC9">
    <w:name w:val="toc 9"/>
    <w:basedOn w:val="TOC8"/>
    <w:semiHidden/>
    <w:rsid w:val="00756CC4"/>
    <w:pPr>
      <w:ind w:left="1418" w:hanging="1418"/>
    </w:pPr>
  </w:style>
  <w:style w:type="paragraph" w:styleId="TOC6">
    <w:name w:val="toc 6"/>
    <w:basedOn w:val="TOC5"/>
    <w:next w:val="Normal"/>
    <w:semiHidden/>
    <w:rsid w:val="00756CC4"/>
    <w:pPr>
      <w:ind w:left="1985" w:hanging="1985"/>
    </w:pPr>
  </w:style>
  <w:style w:type="paragraph" w:styleId="TOC7">
    <w:name w:val="toc 7"/>
    <w:basedOn w:val="TOC6"/>
    <w:next w:val="Normal"/>
    <w:semiHidden/>
    <w:rsid w:val="00756CC4"/>
    <w:pPr>
      <w:ind w:left="2268" w:hanging="2268"/>
    </w:pPr>
  </w:style>
  <w:style w:type="paragraph" w:styleId="ListBullet2">
    <w:name w:val="List Bullet 2"/>
    <w:basedOn w:val="ListBullet"/>
    <w:rsid w:val="00756CC4"/>
    <w:pPr>
      <w:numPr>
        <w:numId w:val="6"/>
      </w:numPr>
    </w:pPr>
  </w:style>
  <w:style w:type="paragraph" w:styleId="ListBullet">
    <w:name w:val="List Bullet"/>
    <w:basedOn w:val="BodyText"/>
    <w:rsid w:val="00756CC4"/>
    <w:pPr>
      <w:numPr>
        <w:numId w:val="5"/>
      </w:numPr>
    </w:pPr>
  </w:style>
  <w:style w:type="paragraph" w:styleId="ListBullet3">
    <w:name w:val="List Bullet 3"/>
    <w:basedOn w:val="ListBullet2"/>
    <w:rsid w:val="00756CC4"/>
    <w:pPr>
      <w:numPr>
        <w:numId w:val="7"/>
      </w:numPr>
    </w:pPr>
  </w:style>
  <w:style w:type="paragraph" w:customStyle="1" w:styleId="EQ">
    <w:name w:val="EQ"/>
    <w:basedOn w:val="Normal"/>
    <w:next w:val="Normal"/>
    <w:rsid w:val="00756CC4"/>
    <w:pPr>
      <w:keepLines/>
      <w:tabs>
        <w:tab w:val="center" w:pos="4536"/>
        <w:tab w:val="right" w:pos="9072"/>
      </w:tabs>
      <w:spacing w:after="180"/>
      <w:jc w:val="left"/>
    </w:pPr>
    <w:rPr>
      <w:noProof/>
      <w:lang w:eastAsia="en-US"/>
    </w:rPr>
  </w:style>
  <w:style w:type="paragraph" w:styleId="List2">
    <w:name w:val="List 2"/>
    <w:basedOn w:val="List"/>
    <w:rsid w:val="00756CC4"/>
    <w:pPr>
      <w:ind w:left="851"/>
    </w:pPr>
  </w:style>
  <w:style w:type="paragraph" w:styleId="List3">
    <w:name w:val="List 3"/>
    <w:basedOn w:val="List2"/>
    <w:rsid w:val="00756CC4"/>
    <w:pPr>
      <w:ind w:left="1135"/>
    </w:pPr>
  </w:style>
  <w:style w:type="paragraph" w:styleId="List4">
    <w:name w:val="List 4"/>
    <w:basedOn w:val="List3"/>
    <w:rsid w:val="00756CC4"/>
    <w:pPr>
      <w:ind w:left="1418"/>
    </w:pPr>
  </w:style>
  <w:style w:type="paragraph" w:styleId="List5">
    <w:name w:val="List 5"/>
    <w:basedOn w:val="List4"/>
    <w:rsid w:val="00756CC4"/>
    <w:pPr>
      <w:ind w:left="1702"/>
    </w:pPr>
  </w:style>
  <w:style w:type="paragraph" w:customStyle="1" w:styleId="EditorsNote">
    <w:name w:val="Editor's Note"/>
    <w:basedOn w:val="Normal"/>
    <w:rsid w:val="00756CC4"/>
    <w:pPr>
      <w:keepLines/>
      <w:spacing w:after="180"/>
      <w:ind w:left="1135" w:hanging="851"/>
      <w:jc w:val="left"/>
    </w:pPr>
    <w:rPr>
      <w:color w:val="FF0000"/>
      <w:lang w:eastAsia="en-US"/>
    </w:rPr>
  </w:style>
  <w:style w:type="paragraph" w:styleId="ListBullet4">
    <w:name w:val="List Bullet 4"/>
    <w:basedOn w:val="ListBullet3"/>
    <w:rsid w:val="00756CC4"/>
    <w:pPr>
      <w:numPr>
        <w:numId w:val="8"/>
      </w:numPr>
    </w:pPr>
  </w:style>
  <w:style w:type="paragraph" w:styleId="ListBullet5">
    <w:name w:val="List Bullet 5"/>
    <w:basedOn w:val="ListBullet4"/>
    <w:rsid w:val="00756CC4"/>
    <w:pPr>
      <w:numPr>
        <w:numId w:val="4"/>
      </w:numPr>
    </w:pPr>
  </w:style>
  <w:style w:type="paragraph" w:styleId="Footer">
    <w:name w:val="footer"/>
    <w:basedOn w:val="Header"/>
    <w:semiHidden/>
    <w:rsid w:val="00756CC4"/>
    <w:pPr>
      <w:jc w:val="center"/>
    </w:pPr>
    <w:rPr>
      <w:i/>
      <w:iCs/>
    </w:rPr>
  </w:style>
  <w:style w:type="paragraph" w:customStyle="1" w:styleId="Reference">
    <w:name w:val="Reference"/>
    <w:basedOn w:val="Normal"/>
    <w:qFormat/>
    <w:rsid w:val="00756CC4"/>
    <w:pPr>
      <w:numPr>
        <w:numId w:val="2"/>
      </w:numPr>
    </w:pPr>
  </w:style>
  <w:style w:type="paragraph" w:styleId="BalloonText">
    <w:name w:val="Balloon Text"/>
    <w:basedOn w:val="Normal"/>
    <w:semiHidden/>
    <w:rsid w:val="00756CC4"/>
    <w:rPr>
      <w:rFonts w:ascii="Tahoma" w:hAnsi="Tahoma" w:cs="Tahoma"/>
      <w:sz w:val="16"/>
      <w:szCs w:val="16"/>
    </w:rPr>
  </w:style>
  <w:style w:type="character" w:styleId="PageNumber">
    <w:name w:val="page number"/>
    <w:basedOn w:val="DefaultParagraphFont"/>
    <w:semiHidden/>
    <w:rsid w:val="00756CC4"/>
  </w:style>
  <w:style w:type="paragraph" w:styleId="BodyText">
    <w:name w:val="Body Text"/>
    <w:basedOn w:val="Normal"/>
    <w:link w:val="BodyTextChar"/>
    <w:qFormat/>
    <w:rsid w:val="00756CC4"/>
  </w:style>
  <w:style w:type="character" w:styleId="Hyperlink">
    <w:name w:val="Hyperlink"/>
    <w:uiPriority w:val="99"/>
    <w:rsid w:val="00756CC4"/>
    <w:rPr>
      <w:color w:val="0000FF"/>
      <w:u w:val="single"/>
      <w:lang w:val="en-GB"/>
    </w:rPr>
  </w:style>
  <w:style w:type="character" w:styleId="FollowedHyperlink">
    <w:name w:val="FollowedHyperlink"/>
    <w:semiHidden/>
    <w:rsid w:val="00756CC4"/>
    <w:rPr>
      <w:color w:val="FF0000"/>
      <w:u w:val="single"/>
    </w:rPr>
  </w:style>
  <w:style w:type="character" w:styleId="CommentReference">
    <w:name w:val="annotation reference"/>
    <w:semiHidden/>
    <w:rsid w:val="00756CC4"/>
    <w:rPr>
      <w:sz w:val="16"/>
      <w:szCs w:val="16"/>
    </w:rPr>
  </w:style>
  <w:style w:type="paragraph" w:styleId="CommentText">
    <w:name w:val="annotation text"/>
    <w:basedOn w:val="Normal"/>
    <w:link w:val="CommentTextChar"/>
    <w:rsid w:val="00756CC4"/>
  </w:style>
  <w:style w:type="paragraph" w:styleId="CommentSubject">
    <w:name w:val="annotation subject"/>
    <w:basedOn w:val="CommentText"/>
    <w:next w:val="CommentText"/>
    <w:semiHidden/>
    <w:rsid w:val="00756CC4"/>
    <w:rPr>
      <w:b/>
      <w:bCs/>
    </w:rPr>
  </w:style>
  <w:style w:type="character" w:customStyle="1" w:styleId="Heading1Char">
    <w:name w:val="Heading 1 Char"/>
    <w:link w:val="Heading1"/>
    <w:rsid w:val="00756CC4"/>
    <w:rPr>
      <w:rFonts w:ascii="Arial" w:hAnsi="Arial" w:cs="Arial"/>
      <w:sz w:val="32"/>
      <w:szCs w:val="36"/>
      <w:lang w:val="en-GB" w:eastAsia="zh-CN"/>
    </w:rPr>
  </w:style>
  <w:style w:type="paragraph" w:customStyle="1" w:styleId="B1">
    <w:name w:val="B1"/>
    <w:basedOn w:val="List"/>
    <w:rsid w:val="00756CC4"/>
    <w:pPr>
      <w:spacing w:after="180"/>
      <w:jc w:val="left"/>
    </w:pPr>
    <w:rPr>
      <w:lang w:eastAsia="en-US"/>
    </w:rPr>
  </w:style>
  <w:style w:type="paragraph" w:customStyle="1" w:styleId="B2">
    <w:name w:val="B2"/>
    <w:basedOn w:val="List2"/>
    <w:rsid w:val="00756CC4"/>
    <w:pPr>
      <w:spacing w:after="180"/>
      <w:jc w:val="left"/>
    </w:pPr>
    <w:rPr>
      <w:lang w:eastAsia="en-US"/>
    </w:rPr>
  </w:style>
  <w:style w:type="paragraph" w:customStyle="1" w:styleId="B3">
    <w:name w:val="B3"/>
    <w:basedOn w:val="List3"/>
    <w:rsid w:val="00756CC4"/>
    <w:pPr>
      <w:spacing w:after="180"/>
      <w:jc w:val="left"/>
    </w:pPr>
    <w:rPr>
      <w:lang w:eastAsia="en-US"/>
    </w:rPr>
  </w:style>
  <w:style w:type="paragraph" w:customStyle="1" w:styleId="B4">
    <w:name w:val="B4"/>
    <w:basedOn w:val="List4"/>
    <w:rsid w:val="00756CC4"/>
    <w:pPr>
      <w:spacing w:after="180"/>
      <w:jc w:val="left"/>
    </w:pPr>
    <w:rPr>
      <w:lang w:eastAsia="en-US"/>
    </w:rPr>
  </w:style>
  <w:style w:type="paragraph" w:customStyle="1" w:styleId="Proposal">
    <w:name w:val="Proposal"/>
    <w:basedOn w:val="Normal"/>
    <w:qFormat/>
    <w:rsid w:val="00756CC4"/>
    <w:pPr>
      <w:numPr>
        <w:numId w:val="3"/>
      </w:numPr>
      <w:tabs>
        <w:tab w:val="clear" w:pos="1304"/>
        <w:tab w:val="left" w:pos="1701"/>
      </w:tabs>
      <w:ind w:left="1701" w:hanging="1701"/>
    </w:pPr>
    <w:rPr>
      <w:b/>
      <w:bCs/>
    </w:rPr>
  </w:style>
  <w:style w:type="character" w:customStyle="1" w:styleId="BodyTextChar">
    <w:name w:val="Body Text Char"/>
    <w:link w:val="BodyText"/>
    <w:rsid w:val="00756CC4"/>
    <w:rPr>
      <w:rFonts w:ascii="Times New Roman" w:hAnsi="Times New Roman"/>
      <w:lang w:val="en-GB" w:eastAsia="zh-CN"/>
    </w:rPr>
  </w:style>
  <w:style w:type="paragraph" w:customStyle="1" w:styleId="B5">
    <w:name w:val="B5"/>
    <w:basedOn w:val="List5"/>
    <w:rsid w:val="00756CC4"/>
    <w:pPr>
      <w:spacing w:after="180"/>
      <w:jc w:val="left"/>
    </w:pPr>
    <w:rPr>
      <w:lang w:eastAsia="en-US"/>
    </w:rPr>
  </w:style>
  <w:style w:type="paragraph" w:customStyle="1" w:styleId="EX">
    <w:name w:val="EX"/>
    <w:basedOn w:val="Normal"/>
    <w:rsid w:val="00756CC4"/>
    <w:pPr>
      <w:keepLines/>
      <w:spacing w:after="180"/>
      <w:ind w:left="1702" w:hanging="1418"/>
      <w:jc w:val="left"/>
    </w:pPr>
    <w:rPr>
      <w:lang w:eastAsia="en-US"/>
    </w:rPr>
  </w:style>
  <w:style w:type="paragraph" w:customStyle="1" w:styleId="EW">
    <w:name w:val="EW"/>
    <w:basedOn w:val="EX"/>
    <w:rsid w:val="00756CC4"/>
    <w:pPr>
      <w:spacing w:after="0"/>
    </w:pPr>
  </w:style>
  <w:style w:type="paragraph" w:customStyle="1" w:styleId="TAL">
    <w:name w:val="TAL"/>
    <w:basedOn w:val="Normal"/>
    <w:rsid w:val="00756CC4"/>
    <w:pPr>
      <w:keepNext/>
      <w:keepLines/>
      <w:spacing w:after="0"/>
      <w:jc w:val="left"/>
    </w:pPr>
    <w:rPr>
      <w:sz w:val="18"/>
      <w:lang w:eastAsia="en-US"/>
    </w:rPr>
  </w:style>
  <w:style w:type="paragraph" w:customStyle="1" w:styleId="TAC">
    <w:name w:val="TAC"/>
    <w:basedOn w:val="TAL"/>
    <w:rsid w:val="00756CC4"/>
    <w:pPr>
      <w:jc w:val="center"/>
    </w:pPr>
  </w:style>
  <w:style w:type="paragraph" w:customStyle="1" w:styleId="TAH">
    <w:name w:val="TAH"/>
    <w:basedOn w:val="TAC"/>
    <w:rsid w:val="00756CC4"/>
    <w:rPr>
      <w:b/>
    </w:rPr>
  </w:style>
  <w:style w:type="paragraph" w:customStyle="1" w:styleId="TAN">
    <w:name w:val="TAN"/>
    <w:basedOn w:val="TAL"/>
    <w:rsid w:val="00756CC4"/>
    <w:pPr>
      <w:ind w:left="851" w:hanging="851"/>
    </w:pPr>
  </w:style>
  <w:style w:type="paragraph" w:customStyle="1" w:styleId="TAR">
    <w:name w:val="TAR"/>
    <w:basedOn w:val="TAL"/>
    <w:rsid w:val="00756CC4"/>
    <w:pPr>
      <w:jc w:val="right"/>
    </w:pPr>
  </w:style>
  <w:style w:type="paragraph" w:customStyle="1" w:styleId="TH">
    <w:name w:val="TH"/>
    <w:basedOn w:val="Normal"/>
    <w:rsid w:val="00756CC4"/>
    <w:pPr>
      <w:keepNext/>
      <w:keepLines/>
      <w:spacing w:before="60" w:after="180"/>
      <w:jc w:val="center"/>
    </w:pPr>
    <w:rPr>
      <w:b/>
      <w:lang w:eastAsia="en-US"/>
    </w:rPr>
  </w:style>
  <w:style w:type="paragraph" w:customStyle="1" w:styleId="TF">
    <w:name w:val="TF"/>
    <w:basedOn w:val="TH"/>
    <w:rsid w:val="00756CC4"/>
    <w:pPr>
      <w:keepNext w:val="0"/>
      <w:spacing w:before="0" w:after="240"/>
    </w:pPr>
  </w:style>
  <w:style w:type="paragraph" w:customStyle="1" w:styleId="TT">
    <w:name w:val="TT"/>
    <w:basedOn w:val="Heading1"/>
    <w:next w:val="Normal"/>
    <w:rsid w:val="00756CC4"/>
    <w:pPr>
      <w:numPr>
        <w:numId w:val="0"/>
      </w:numPr>
      <w:ind w:left="1134" w:hanging="1134"/>
      <w:outlineLvl w:val="9"/>
    </w:pPr>
    <w:rPr>
      <w:rFonts w:cs="Times New Roman"/>
      <w:szCs w:val="20"/>
      <w:lang w:eastAsia="en-US"/>
    </w:rPr>
  </w:style>
  <w:style w:type="paragraph" w:customStyle="1" w:styleId="ZA">
    <w:name w:val="ZA"/>
    <w:rsid w:val="00756C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56C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56CC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56CC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56CC4"/>
  </w:style>
  <w:style w:type="paragraph" w:customStyle="1" w:styleId="ZH">
    <w:name w:val="ZH"/>
    <w:rsid w:val="00756CC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56CC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56CC4"/>
    <w:pPr>
      <w:framePr w:hRule="auto" w:wrap="notBeside" w:y="852"/>
    </w:pPr>
    <w:rPr>
      <w:i w:val="0"/>
      <w:sz w:val="40"/>
    </w:rPr>
  </w:style>
  <w:style w:type="paragraph" w:customStyle="1" w:styleId="ZU">
    <w:name w:val="ZU"/>
    <w:rsid w:val="00756C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56CC4"/>
    <w:pPr>
      <w:framePr w:wrap="notBeside" w:y="16161"/>
    </w:pPr>
  </w:style>
  <w:style w:type="paragraph" w:customStyle="1" w:styleId="FP">
    <w:name w:val="FP"/>
    <w:basedOn w:val="Normal"/>
    <w:rsid w:val="00756CC4"/>
    <w:pPr>
      <w:spacing w:after="0"/>
      <w:jc w:val="left"/>
    </w:pPr>
    <w:rPr>
      <w:lang w:eastAsia="en-US"/>
    </w:rPr>
  </w:style>
  <w:style w:type="paragraph" w:customStyle="1" w:styleId="Observation">
    <w:name w:val="Observation"/>
    <w:basedOn w:val="Proposal"/>
    <w:qFormat/>
    <w:rsid w:val="00756CC4"/>
    <w:pPr>
      <w:numPr>
        <w:numId w:val="13"/>
      </w:numPr>
      <w:ind w:left="1701" w:hanging="1701"/>
    </w:pPr>
  </w:style>
  <w:style w:type="paragraph" w:styleId="TableofFigures">
    <w:name w:val="table of figures"/>
    <w:basedOn w:val="Normal"/>
    <w:next w:val="Normal"/>
    <w:uiPriority w:val="99"/>
    <w:rsid w:val="00756CC4"/>
    <w:pPr>
      <w:ind w:left="1418" w:hanging="1418"/>
      <w:jc w:val="left"/>
    </w:pPr>
    <w:rPr>
      <w:b/>
    </w:rPr>
  </w:style>
  <w:style w:type="paragraph" w:styleId="Index4">
    <w:name w:val="index 4"/>
    <w:basedOn w:val="Normal"/>
    <w:next w:val="Normal"/>
    <w:autoRedefine/>
    <w:rsid w:val="00756CC4"/>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CommentTextChar">
    <w:name w:val="Comment Text Char"/>
    <w:basedOn w:val="DefaultParagraphFont"/>
    <w:link w:val="CommentText"/>
    <w:rsid w:val="00D86070"/>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4E9EA6-8C04-4076-BF2D-ED4384739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0</TotalTime>
  <Pages>2</Pages>
  <Words>1024</Words>
  <Characters>5838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Stephen Grant</cp:lastModifiedBy>
  <cp:revision>2</cp:revision>
  <cp:lastPrinted>2008-01-31T15:09:00Z</cp:lastPrinted>
  <dcterms:created xsi:type="dcterms:W3CDTF">2017-01-09T23:55:00Z</dcterms:created>
  <dcterms:modified xsi:type="dcterms:W3CDTF">2017-01-09T23:55:00Z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